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7B" w:rsidRPr="007E7F7B" w:rsidRDefault="007E7F7B" w:rsidP="007E7F7B">
      <w:pPr>
        <w:pBdr>
          <w:bottom w:val="single" w:sz="6" w:space="4" w:color="CCCCCC"/>
        </w:pBdr>
        <w:shd w:val="clear" w:color="auto" w:fill="FFFFFF"/>
        <w:spacing w:after="150" w:line="600" w:lineRule="atLeast"/>
        <w:textAlignment w:val="top"/>
        <w:outlineLvl w:val="2"/>
        <w:rPr>
          <w:rFonts w:ascii="Lato" w:eastAsia="Times New Roman" w:hAnsi="Lato" w:cs="Times New Roman"/>
          <w:spacing w:val="15"/>
          <w:sz w:val="28"/>
          <w:szCs w:val="28"/>
          <w:lang w:eastAsia="es-CL"/>
        </w:rPr>
      </w:pPr>
      <w:r w:rsidRPr="007E7F7B">
        <w:rPr>
          <w:rFonts w:ascii="Lato" w:eastAsia="Times New Roman" w:hAnsi="Lato" w:cs="Times New Roman"/>
          <w:spacing w:val="15"/>
          <w:sz w:val="28"/>
          <w:szCs w:val="28"/>
          <w:lang w:eastAsia="es-CL"/>
        </w:rPr>
        <w:t>Base Dictámenes</w:t>
      </w:r>
    </w:p>
    <w:p w:rsidR="007E7F7B" w:rsidRPr="007E7F7B" w:rsidRDefault="007E7F7B" w:rsidP="007E7F7B">
      <w:pPr>
        <w:pBdr>
          <w:bottom w:val="single" w:sz="6" w:space="4" w:color="CCCCCC"/>
        </w:pBdr>
        <w:shd w:val="clear" w:color="auto" w:fill="FFFFFF"/>
        <w:spacing w:after="0" w:line="360" w:lineRule="atLeast"/>
        <w:outlineLvl w:val="3"/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</w:pPr>
      <w:proofErr w:type="spellStart"/>
      <w:proofErr w:type="gramStart"/>
      <w:r w:rsidRPr="007E7F7B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canaempu</w:t>
      </w:r>
      <w:proofErr w:type="spellEnd"/>
      <w:proofErr w:type="gramEnd"/>
      <w:r w:rsidRPr="007E7F7B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 xml:space="preserve">, </w:t>
      </w:r>
      <w:proofErr w:type="spellStart"/>
      <w:r w:rsidRPr="007E7F7B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setesor</w:t>
      </w:r>
      <w:proofErr w:type="spellEnd"/>
      <w:r w:rsidRPr="007E7F7B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, </w:t>
      </w:r>
      <w:proofErr w:type="spellStart"/>
      <w:r w:rsidRPr="007E7F7B">
        <w:rPr>
          <w:rFonts w:ascii="inherit" w:eastAsia="Times New Roman" w:hAnsi="inherit" w:cs="Times New Roman"/>
          <w:b/>
          <w:bCs/>
          <w:color w:val="333333"/>
          <w:spacing w:val="15"/>
          <w:sz w:val="28"/>
          <w:szCs w:val="28"/>
          <w:shd w:val="clear" w:color="auto" w:fill="FFFF00"/>
          <w:lang w:eastAsia="es-CL"/>
        </w:rPr>
        <w:t>solucion</w:t>
      </w:r>
      <w:proofErr w:type="spellEnd"/>
      <w:r w:rsidRPr="007E7F7B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 </w:t>
      </w:r>
      <w:r w:rsidRPr="007E7F7B">
        <w:rPr>
          <w:rFonts w:ascii="inherit" w:eastAsia="Times New Roman" w:hAnsi="inherit" w:cs="Times New Roman"/>
          <w:b/>
          <w:bCs/>
          <w:color w:val="333333"/>
          <w:spacing w:val="15"/>
          <w:sz w:val="28"/>
          <w:szCs w:val="28"/>
          <w:shd w:val="clear" w:color="auto" w:fill="FFFF00"/>
          <w:lang w:eastAsia="es-CL"/>
        </w:rPr>
        <w:t>de</w:t>
      </w:r>
      <w:r w:rsidRPr="007E7F7B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 </w:t>
      </w:r>
      <w:r w:rsidRPr="007E7F7B">
        <w:rPr>
          <w:rFonts w:ascii="inherit" w:eastAsia="Times New Roman" w:hAnsi="inherit" w:cs="Times New Roman"/>
          <w:b/>
          <w:bCs/>
          <w:color w:val="333333"/>
          <w:spacing w:val="15"/>
          <w:sz w:val="28"/>
          <w:szCs w:val="28"/>
          <w:shd w:val="clear" w:color="auto" w:fill="FFFF00"/>
          <w:lang w:eastAsia="es-CL"/>
        </w:rPr>
        <w:t>continuidad</w:t>
      </w:r>
      <w:r w:rsidRPr="007E7F7B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, promociones</w:t>
      </w:r>
    </w:p>
    <w:p w:rsidR="007E7F7B" w:rsidRPr="007E7F7B" w:rsidRDefault="007E7F7B" w:rsidP="007E7F7B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</w:pPr>
      <w:r w:rsidRPr="007E7F7B">
        <w:rPr>
          <w:rFonts w:ascii="Lato" w:eastAsia="Times New Roman" w:hAnsi="Lato" w:cs="Times New Roman"/>
          <w:b/>
          <w:bCs/>
          <w:color w:val="333333"/>
          <w:sz w:val="28"/>
          <w:szCs w:val="28"/>
          <w:bdr w:val="single" w:sz="2" w:space="0" w:color="auto" w:frame="1"/>
          <w:lang w:eastAsia="es-CL"/>
        </w:rPr>
        <w:t>NÚMERO DICTAMEN</w:t>
      </w:r>
      <w:r w:rsidRPr="007E7F7B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002502N88</w:t>
      </w:r>
      <w:r w:rsidRPr="007E7F7B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FECHA DOCUMENTO</w:t>
      </w:r>
      <w:r w:rsidRPr="007E7F7B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01-02-1988</w:t>
      </w:r>
      <w:r w:rsidRPr="007E7F7B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RECONSIDERADO</w:t>
      </w:r>
      <w:proofErr w:type="gramStart"/>
      <w:r w:rsidRPr="007E7F7B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:</w:t>
      </w:r>
      <w:r w:rsidRPr="007E7F7B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 w:rsidRPr="007E7F7B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RECONSIDERADO</w:t>
      </w:r>
      <w:proofErr w:type="gramEnd"/>
      <w:r w:rsidRPr="007E7F7B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 xml:space="preserve"> PARCIAL:</w:t>
      </w:r>
      <w:r w:rsidRPr="007E7F7B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 w:rsidRPr="007E7F7B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ACLARADO:</w:t>
      </w:r>
      <w:r w:rsidRPr="007E7F7B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 w:rsidRPr="007E7F7B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APLICADO:</w:t>
      </w:r>
      <w:r w:rsidRPr="007E7F7B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 w:rsidRPr="007E7F7B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CONFIRMADO:</w:t>
      </w:r>
      <w:r w:rsidRPr="007E7F7B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 w:rsidRPr="007E7F7B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COMPLEMENTADO:</w:t>
      </w:r>
      <w:r w:rsidRPr="007E7F7B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 w:rsidRPr="007E7F7B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CARÁCTER:</w:t>
      </w:r>
      <w:r w:rsidRPr="007E7F7B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NNN</w:t>
      </w:r>
    </w:p>
    <w:p w:rsidR="007E7F7B" w:rsidRPr="007E7F7B" w:rsidRDefault="007E7F7B" w:rsidP="007E7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br/>
      </w:r>
    </w:p>
    <w:p w:rsidR="007E7F7B" w:rsidRPr="007E7F7B" w:rsidRDefault="007E7F7B" w:rsidP="007E7F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7E7F7B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DICTAMENES RELACIONADOS</w:t>
      </w:r>
    </w:p>
    <w:p w:rsidR="007E7F7B" w:rsidRPr="007E7F7B" w:rsidRDefault="007E7F7B" w:rsidP="007E7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7E7F7B">
        <w:rPr>
          <w:rFonts w:ascii="Lato" w:eastAsia="Times New Roman" w:hAnsi="Lato" w:cs="Times New Roman"/>
          <w:noProof/>
          <w:color w:val="333333"/>
          <w:spacing w:val="-1"/>
          <w:sz w:val="28"/>
          <w:szCs w:val="28"/>
          <w:lang w:eastAsia="es-CL"/>
        </w:rPr>
        <w:drawing>
          <wp:inline distT="0" distB="0" distL="0" distR="0" wp14:anchorId="58C4BDBB" wp14:editId="218F16DE">
            <wp:extent cx="9525" cy="9525"/>
            <wp:effectExtent l="0" t="0" r="0" b="0"/>
            <wp:docPr id="1" name="Imagen 1" descr="https://www.contraloria.cl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traloria.cl/icons/ec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</w:t>
      </w:r>
    </w:p>
    <w:tbl>
      <w:tblPr>
        <w:tblW w:w="10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4674"/>
        <w:gridCol w:w="2388"/>
      </w:tblGrid>
      <w:tr w:rsidR="007E7F7B" w:rsidRPr="007E7F7B" w:rsidTr="007E7F7B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7B" w:rsidRPr="007E7F7B" w:rsidRDefault="007E7F7B" w:rsidP="007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7E7F7B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Acción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7B" w:rsidRPr="007E7F7B" w:rsidRDefault="007E7F7B" w:rsidP="007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7E7F7B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Dictamen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7B" w:rsidRPr="007E7F7B" w:rsidRDefault="007E7F7B" w:rsidP="007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7E7F7B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Año</w:t>
            </w:r>
          </w:p>
        </w:tc>
      </w:tr>
      <w:tr w:rsidR="007E7F7B" w:rsidRPr="007E7F7B" w:rsidTr="007E7F7B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7B" w:rsidRPr="007E7F7B" w:rsidRDefault="007E7F7B" w:rsidP="007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7B" w:rsidRPr="007E7F7B" w:rsidRDefault="007E7F7B" w:rsidP="007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7B" w:rsidRPr="007E7F7B" w:rsidRDefault="007E7F7B" w:rsidP="007E7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</w:tr>
    </w:tbl>
    <w:p w:rsidR="007E7F7B" w:rsidRPr="007E7F7B" w:rsidRDefault="007E7F7B" w:rsidP="007E7F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7E7F7B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FUENTES LEGALES</w:t>
      </w:r>
    </w:p>
    <w:p w:rsidR="007E7F7B" w:rsidRPr="007E7F7B" w:rsidRDefault="007E7F7B" w:rsidP="007E7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proofErr w:type="spellStart"/>
      <w:proofErr w:type="gram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proofErr w:type="gram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1340/30 bis, 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178/81 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hacie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art/7 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inc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/3, 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338/60 art/231, 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338/60 art/233, 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338/60 art/25, dl 1289/75 art/3 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tran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,</w:t>
      </w:r>
      <w:r w:rsidRPr="007E7F7B">
        <w:rPr>
          <w:rFonts w:ascii="Lato" w:eastAsia="Times New Roman" w:hAnsi="Lato" w:cs="Times New Roman"/>
          <w:color w:val="0000FF"/>
          <w:spacing w:val="-1"/>
          <w:sz w:val="28"/>
          <w:szCs w:val="28"/>
          <w:u w:val="single"/>
          <w:lang w:eastAsia="es-CL"/>
        </w:rPr>
        <w:t> ley 11219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, 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338/60 art/24 ,</w:t>
      </w:r>
    </w:p>
    <w:p w:rsidR="007E7F7B" w:rsidRPr="007E7F7B" w:rsidRDefault="007E7F7B" w:rsidP="007E7F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7E7F7B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MATERIA</w:t>
      </w:r>
    </w:p>
    <w:p w:rsidR="007E7F7B" w:rsidRPr="007E7F7B" w:rsidRDefault="007E7F7B" w:rsidP="007E7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proofErr w:type="gram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norma</w:t>
      </w:r>
      <w:proofErr w:type="gram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del 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178/8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1 </w:t>
      </w:r>
      <w:proofErr w:type="spellStart"/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hacie</w:t>
      </w:r>
      <w:proofErr w:type="spellEnd"/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art/7 </w:t>
      </w:r>
      <w:proofErr w:type="spellStart"/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inc</w:t>
      </w:r>
      <w:proofErr w:type="spellEnd"/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/3 que permitió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al personal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</w:t>
      </w:r>
      <w:proofErr w:type="spellStart"/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tesorerias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comunales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traspasad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o a municipalidades conservar ré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gimen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previsió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 a que estaba afecto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sin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perjuicio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su derecho a incorporarse al sistema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pensiones del dl 3500/80, está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concebida en té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rminos amp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lios, por cuanto no dice relación ú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nicamente con el empleo municipal especifico a que se incorporara el funcionario al ser transferid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o, sino que con todo su desempeñ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o en el municipio como consecuencia del traspaso. por tanto, funcionario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tesorería que despué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s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traspaso a la entidad edilicia fue nombrado en un grado superior,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sin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mediar renuncia previa y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sin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</w:t>
      </w:r>
      <w:r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solució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n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continuidad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, permanece afecto a ré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gimen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previsió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caja nacional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empleados pú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blicos y periodistas al que se vinculaba, mientras preste servicios, en forma continuada, en la respectiva municipalidad,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sin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que su situació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 se altere en este aspecto, por los ascensos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que sea objeto ni por los nombramientos que el alcalde disponga a su respecto acorde con facultades que le otorga dl 3551/80 art/22. empleado traspasado que deja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 pertenecer al municipio por renuncia u otra causa legal y que se reincorpora posteriormente al 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lastRenderedPageBreak/>
        <w:t>mism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o aunque sea con una interrupció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 un </w:t>
      </w:r>
      <w:proofErr w:type="spellStart"/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dia</w:t>
      </w:r>
      <w:proofErr w:type="spellEnd"/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, opera una desvinculació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n del servicio 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y por tanto del ré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gimen previsional que lo regia conforme art/7 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inc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/3 del 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aludido, por lo que el nuevo nombramiento que se disponga 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debe dar lugar a la incorporació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 del empleado al sistema previsional propio </w:t>
      </w:r>
      <w:r w:rsidRPr="007E7F7B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los empleados municipales, no obstante su</w:t>
      </w:r>
      <w:r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derecho a optar por el nuevo ré</w:t>
      </w:r>
      <w:bookmarkStart w:id="0" w:name="_GoBack"/>
      <w:bookmarkEnd w:id="0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gimen previsional</w:t>
      </w:r>
    </w:p>
    <w:p w:rsidR="007E7F7B" w:rsidRPr="007E7F7B" w:rsidRDefault="007E7F7B" w:rsidP="007E7F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7E7F7B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DOCUMENTO COMPLETO</w:t>
      </w:r>
    </w:p>
    <w:p w:rsidR="007E7F7B" w:rsidRPr="007E7F7B" w:rsidRDefault="007E7F7B" w:rsidP="007E7F7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7E7F7B">
        <w:rPr>
          <w:rFonts w:ascii="Lato" w:eastAsia="Times New Roman" w:hAnsi="Lato" w:cs="Times New Roman"/>
          <w:noProof/>
          <w:color w:val="333333"/>
          <w:spacing w:val="-1"/>
          <w:sz w:val="28"/>
          <w:szCs w:val="28"/>
          <w:lang w:eastAsia="es-CL"/>
        </w:rPr>
        <w:drawing>
          <wp:inline distT="0" distB="0" distL="0" distR="0" wp14:anchorId="0EAF869A" wp14:editId="02D1D761">
            <wp:extent cx="9525" cy="9525"/>
            <wp:effectExtent l="0" t="0" r="0" b="0"/>
            <wp:docPr id="2" name="Imagen 2" descr="https://www.contraloria.cl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ntraloria.cl/icons/ec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F7B" w:rsidRPr="007E7F7B" w:rsidRDefault="007E7F7B" w:rsidP="007E7F7B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</w:t>
      </w:r>
    </w:p>
    <w:p w:rsidR="007E7F7B" w:rsidRPr="007E7F7B" w:rsidRDefault="007E7F7B" w:rsidP="007E7F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7E7F7B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DESTINATARIOS</w:t>
      </w:r>
    </w:p>
    <w:p w:rsidR="007E7F7B" w:rsidRPr="007E7F7B" w:rsidRDefault="007E7F7B" w:rsidP="007E7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proofErr w:type="gram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contralor</w:t>
      </w:r>
      <w:proofErr w:type="gram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regional del libertador general 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bernardo</w:t>
      </w:r>
      <w:proofErr w:type="spellEnd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</w:t>
      </w:r>
      <w:proofErr w:type="spellStart"/>
      <w:r w:rsidRPr="007E7F7B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o'higgins</w:t>
      </w:r>
      <w:proofErr w:type="spellEnd"/>
    </w:p>
    <w:p w:rsidR="007E7F7B" w:rsidRPr="007E7F7B" w:rsidRDefault="007E7F7B" w:rsidP="007E7F7B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</w:p>
    <w:p w:rsidR="00B229FA" w:rsidRPr="007E7F7B" w:rsidRDefault="00B229FA">
      <w:pPr>
        <w:rPr>
          <w:sz w:val="28"/>
          <w:szCs w:val="28"/>
        </w:rPr>
      </w:pPr>
    </w:p>
    <w:sectPr w:rsidR="00B229FA" w:rsidRPr="007E7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7B"/>
    <w:rsid w:val="007E7F7B"/>
    <w:rsid w:val="00B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ABC3E-E3C1-4AEF-BEB2-EDE8AFBD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460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2019-03-01T19:48:00Z</dcterms:created>
  <dcterms:modified xsi:type="dcterms:W3CDTF">2019-03-01T19:52:00Z</dcterms:modified>
</cp:coreProperties>
</file>