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C82" w:rsidRPr="007D4C82" w:rsidRDefault="007D4C82" w:rsidP="007D4C82">
      <w:pPr>
        <w:pBdr>
          <w:bottom w:val="single" w:sz="6" w:space="4" w:color="CCCCCC"/>
        </w:pBdr>
        <w:shd w:val="clear" w:color="auto" w:fill="FFFFFF"/>
        <w:spacing w:after="150" w:line="600" w:lineRule="atLeast"/>
        <w:textAlignment w:val="top"/>
        <w:outlineLvl w:val="2"/>
        <w:rPr>
          <w:rFonts w:ascii="Lato" w:eastAsia="Times New Roman" w:hAnsi="Lato" w:cs="Times New Roman"/>
          <w:spacing w:val="15"/>
          <w:sz w:val="34"/>
          <w:szCs w:val="34"/>
          <w:lang w:eastAsia="es-CL"/>
        </w:rPr>
      </w:pPr>
      <w:r w:rsidRPr="007D4C82">
        <w:rPr>
          <w:rFonts w:ascii="Lato" w:eastAsia="Times New Roman" w:hAnsi="Lato" w:cs="Times New Roman"/>
          <w:spacing w:val="15"/>
          <w:sz w:val="34"/>
          <w:szCs w:val="34"/>
          <w:lang w:eastAsia="es-CL"/>
        </w:rPr>
        <w:t>Base Dictámenes</w:t>
      </w:r>
    </w:p>
    <w:p w:rsidR="007D4C82" w:rsidRPr="007D4C82" w:rsidRDefault="007D4C82" w:rsidP="007D4C82">
      <w:pPr>
        <w:pBdr>
          <w:bottom w:val="single" w:sz="6" w:space="4" w:color="CCCCCC"/>
        </w:pBdr>
        <w:shd w:val="clear" w:color="auto" w:fill="FFFFFF"/>
        <w:spacing w:after="0" w:line="360" w:lineRule="atLeast"/>
        <w:outlineLvl w:val="3"/>
        <w:rPr>
          <w:rFonts w:ascii="inherit" w:eastAsia="Times New Roman" w:hAnsi="inherit" w:cs="Times New Roman"/>
          <w:color w:val="333333"/>
          <w:spacing w:val="15"/>
          <w:sz w:val="28"/>
          <w:szCs w:val="28"/>
          <w:lang w:eastAsia="es-CL"/>
        </w:rPr>
      </w:pPr>
      <w:proofErr w:type="gramStart"/>
      <w:r w:rsidRPr="007D4C82">
        <w:rPr>
          <w:rFonts w:ascii="inherit" w:eastAsia="Times New Roman" w:hAnsi="inherit" w:cs="Times New Roman"/>
          <w:color w:val="333333"/>
          <w:spacing w:val="15"/>
          <w:sz w:val="28"/>
          <w:szCs w:val="28"/>
          <w:lang w:eastAsia="es-CL"/>
        </w:rPr>
        <w:t>bono</w:t>
      </w:r>
      <w:proofErr w:type="gramEnd"/>
      <w:r w:rsidRPr="007D4C82">
        <w:rPr>
          <w:rFonts w:ascii="inherit" w:eastAsia="Times New Roman" w:hAnsi="inherit" w:cs="Times New Roman"/>
          <w:color w:val="333333"/>
          <w:spacing w:val="15"/>
          <w:sz w:val="28"/>
          <w:szCs w:val="28"/>
          <w:lang w:eastAsia="es-CL"/>
        </w:rPr>
        <w:t xml:space="preserve"> de retiro docentes </w:t>
      </w:r>
      <w:proofErr w:type="spellStart"/>
      <w:r w:rsidRPr="007D4C82">
        <w:rPr>
          <w:rFonts w:ascii="inherit" w:eastAsia="Times New Roman" w:hAnsi="inherit" w:cs="Times New Roman"/>
          <w:color w:val="333333"/>
          <w:spacing w:val="15"/>
          <w:sz w:val="28"/>
          <w:szCs w:val="28"/>
          <w:lang w:eastAsia="es-CL"/>
        </w:rPr>
        <w:t>mun</w:t>
      </w:r>
      <w:proofErr w:type="spellEnd"/>
      <w:r w:rsidRPr="007D4C82">
        <w:rPr>
          <w:rFonts w:ascii="inherit" w:eastAsia="Times New Roman" w:hAnsi="inherit" w:cs="Times New Roman"/>
          <w:color w:val="333333"/>
          <w:spacing w:val="15"/>
          <w:sz w:val="28"/>
          <w:szCs w:val="28"/>
          <w:lang w:eastAsia="es-CL"/>
        </w:rPr>
        <w:t>, computo, cese, feriado</w:t>
      </w:r>
    </w:p>
    <w:p w:rsidR="007D4C82" w:rsidRPr="007D4C82" w:rsidRDefault="007D4C82" w:rsidP="007D4C82">
      <w:pPr>
        <w:shd w:val="clear" w:color="auto" w:fill="FFFFFF"/>
        <w:spacing w:before="100" w:beforeAutospacing="1" w:after="100" w:afterAutospacing="1" w:line="240" w:lineRule="auto"/>
        <w:jc w:val="center"/>
        <w:outlineLvl w:val="3"/>
        <w:rPr>
          <w:rFonts w:ascii="Lato" w:eastAsia="Times New Roman" w:hAnsi="Lato" w:cs="Times New Roman"/>
          <w:b/>
          <w:bCs/>
          <w:color w:val="333333"/>
          <w:spacing w:val="12"/>
          <w:sz w:val="28"/>
          <w:szCs w:val="28"/>
          <w:lang w:eastAsia="es-CL"/>
        </w:rPr>
      </w:pPr>
      <w:r w:rsidRPr="007D4C82">
        <w:rPr>
          <w:rFonts w:ascii="Lato" w:eastAsia="Times New Roman" w:hAnsi="Lato" w:cs="Times New Roman"/>
          <w:b/>
          <w:bCs/>
          <w:color w:val="333333"/>
          <w:spacing w:val="12"/>
          <w:sz w:val="28"/>
          <w:szCs w:val="28"/>
          <w:lang w:eastAsia="es-CL"/>
        </w:rPr>
        <w:t>DICTAMENES RELACIONADOS</w:t>
      </w:r>
    </w:p>
    <w:p w:rsidR="007D4C82" w:rsidRPr="007D4C82" w:rsidRDefault="007D4C82" w:rsidP="007D4C82">
      <w:pPr>
        <w:shd w:val="clear" w:color="auto" w:fill="FFFFFF"/>
        <w:spacing w:after="0" w:line="240" w:lineRule="auto"/>
        <w:jc w:val="both"/>
        <w:rPr>
          <w:rFonts w:ascii="Lato" w:eastAsia="Times New Roman" w:hAnsi="Lato" w:cs="Times New Roman"/>
          <w:color w:val="333333"/>
          <w:spacing w:val="-1"/>
          <w:sz w:val="28"/>
          <w:szCs w:val="28"/>
          <w:lang w:eastAsia="es-CL"/>
        </w:rPr>
      </w:pPr>
      <w:r w:rsidRPr="007D4C82">
        <w:rPr>
          <w:rFonts w:ascii="Lato" w:eastAsia="Times New Roman" w:hAnsi="Lato" w:cs="Times New Roman"/>
          <w:noProof/>
          <w:color w:val="333333"/>
          <w:spacing w:val="-1"/>
          <w:sz w:val="28"/>
          <w:szCs w:val="28"/>
          <w:lang w:eastAsia="es-CL"/>
        </w:rPr>
        <w:drawing>
          <wp:inline distT="0" distB="0" distL="0" distR="0" wp14:anchorId="750B61F0" wp14:editId="1FCCCDD1">
            <wp:extent cx="9525" cy="9525"/>
            <wp:effectExtent l="0" t="0" r="0" b="0"/>
            <wp:docPr id="1" name="Imagen 1" descr="https://www.contraloria.cl/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ntraloria.cl/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roofErr w:type="gramStart"/>
      <w:r w:rsidRPr="007D4C82">
        <w:rPr>
          <w:rFonts w:ascii="Lato" w:eastAsia="Times New Roman" w:hAnsi="Lato" w:cs="Times New Roman"/>
          <w:color w:val="333333"/>
          <w:spacing w:val="-1"/>
          <w:sz w:val="28"/>
          <w:szCs w:val="28"/>
          <w:lang w:eastAsia="es-CL"/>
        </w:rPr>
        <w:t>aplica</w:t>
      </w:r>
      <w:proofErr w:type="gramEnd"/>
      <w:r w:rsidRPr="007D4C82">
        <w:rPr>
          <w:rFonts w:ascii="Lato" w:eastAsia="Times New Roman" w:hAnsi="Lato" w:cs="Times New Roman"/>
          <w:color w:val="333333"/>
          <w:spacing w:val="-1"/>
          <w:sz w:val="28"/>
          <w:szCs w:val="28"/>
          <w:lang w:eastAsia="es-CL"/>
        </w:rPr>
        <w:t xml:space="preserve"> dictamen 34752/2002 </w:t>
      </w:r>
    </w:p>
    <w:tbl>
      <w:tblPr>
        <w:tblW w:w="106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18"/>
        <w:gridCol w:w="4674"/>
        <w:gridCol w:w="2388"/>
      </w:tblGrid>
      <w:tr w:rsidR="007D4C82" w:rsidRPr="007D4C82" w:rsidTr="007D4C82">
        <w:tc>
          <w:tcPr>
            <w:tcW w:w="6" w:type="dxa"/>
            <w:tcBorders>
              <w:top w:val="single" w:sz="6" w:space="0" w:color="CCCCCC"/>
              <w:left w:val="single" w:sz="6" w:space="0" w:color="CCCCCC"/>
              <w:bottom w:val="single" w:sz="6" w:space="0" w:color="CCCCCC"/>
              <w:right w:val="single" w:sz="6" w:space="0" w:color="CCCCCC"/>
            </w:tcBorders>
            <w:shd w:val="clear" w:color="auto" w:fill="198FC5"/>
            <w:tcMar>
              <w:top w:w="75" w:type="dxa"/>
              <w:left w:w="75" w:type="dxa"/>
              <w:bottom w:w="75" w:type="dxa"/>
              <w:right w:w="75" w:type="dxa"/>
            </w:tcMar>
            <w:hideMark/>
          </w:tcPr>
          <w:p w:rsidR="007D4C82" w:rsidRPr="007D4C82" w:rsidRDefault="007D4C82" w:rsidP="007D4C82">
            <w:pPr>
              <w:spacing w:after="0" w:line="240" w:lineRule="auto"/>
              <w:rPr>
                <w:rFonts w:ascii="Times New Roman" w:eastAsia="Times New Roman" w:hAnsi="Times New Roman" w:cs="Times New Roman"/>
                <w:sz w:val="28"/>
                <w:szCs w:val="28"/>
                <w:lang w:eastAsia="es-CL"/>
              </w:rPr>
            </w:pPr>
            <w:r w:rsidRPr="007D4C82">
              <w:rPr>
                <w:rFonts w:ascii="Times New Roman" w:eastAsia="Times New Roman" w:hAnsi="Times New Roman" w:cs="Times New Roman"/>
                <w:sz w:val="28"/>
                <w:szCs w:val="28"/>
                <w:lang w:eastAsia="es-CL"/>
              </w:rPr>
              <w:t>Acción</w:t>
            </w:r>
          </w:p>
        </w:tc>
        <w:tc>
          <w:tcPr>
            <w:tcW w:w="6" w:type="dxa"/>
            <w:tcBorders>
              <w:top w:val="single" w:sz="6" w:space="0" w:color="CCCCCC"/>
              <w:left w:val="single" w:sz="6" w:space="0" w:color="CCCCCC"/>
              <w:bottom w:val="single" w:sz="6" w:space="0" w:color="CCCCCC"/>
              <w:right w:val="single" w:sz="6" w:space="0" w:color="CCCCCC"/>
            </w:tcBorders>
            <w:shd w:val="clear" w:color="auto" w:fill="198FC5"/>
            <w:tcMar>
              <w:top w:w="75" w:type="dxa"/>
              <w:left w:w="75" w:type="dxa"/>
              <w:bottom w:w="75" w:type="dxa"/>
              <w:right w:w="75" w:type="dxa"/>
            </w:tcMar>
            <w:hideMark/>
          </w:tcPr>
          <w:p w:rsidR="007D4C82" w:rsidRPr="007D4C82" w:rsidRDefault="007D4C82" w:rsidP="007D4C82">
            <w:pPr>
              <w:spacing w:after="0" w:line="240" w:lineRule="auto"/>
              <w:rPr>
                <w:rFonts w:ascii="Times New Roman" w:eastAsia="Times New Roman" w:hAnsi="Times New Roman" w:cs="Times New Roman"/>
                <w:sz w:val="28"/>
                <w:szCs w:val="28"/>
                <w:lang w:eastAsia="es-CL"/>
              </w:rPr>
            </w:pPr>
            <w:r w:rsidRPr="007D4C82">
              <w:rPr>
                <w:rFonts w:ascii="Times New Roman" w:eastAsia="Times New Roman" w:hAnsi="Times New Roman" w:cs="Times New Roman"/>
                <w:sz w:val="28"/>
                <w:szCs w:val="28"/>
                <w:lang w:eastAsia="es-CL"/>
              </w:rPr>
              <w:t>Dictamen</w:t>
            </w:r>
          </w:p>
        </w:tc>
        <w:tc>
          <w:tcPr>
            <w:tcW w:w="6" w:type="dxa"/>
            <w:tcBorders>
              <w:top w:val="single" w:sz="6" w:space="0" w:color="CCCCCC"/>
              <w:left w:val="single" w:sz="6" w:space="0" w:color="CCCCCC"/>
              <w:bottom w:val="single" w:sz="6" w:space="0" w:color="CCCCCC"/>
              <w:right w:val="single" w:sz="6" w:space="0" w:color="CCCCCC"/>
            </w:tcBorders>
            <w:shd w:val="clear" w:color="auto" w:fill="198FC5"/>
            <w:tcMar>
              <w:top w:w="75" w:type="dxa"/>
              <w:left w:w="75" w:type="dxa"/>
              <w:bottom w:w="75" w:type="dxa"/>
              <w:right w:w="75" w:type="dxa"/>
            </w:tcMar>
            <w:hideMark/>
          </w:tcPr>
          <w:p w:rsidR="007D4C82" w:rsidRPr="007D4C82" w:rsidRDefault="007D4C82" w:rsidP="007D4C82">
            <w:pPr>
              <w:spacing w:after="0" w:line="240" w:lineRule="auto"/>
              <w:rPr>
                <w:rFonts w:ascii="Times New Roman" w:eastAsia="Times New Roman" w:hAnsi="Times New Roman" w:cs="Times New Roman"/>
                <w:sz w:val="28"/>
                <w:szCs w:val="28"/>
                <w:lang w:eastAsia="es-CL"/>
              </w:rPr>
            </w:pPr>
            <w:r w:rsidRPr="007D4C82">
              <w:rPr>
                <w:rFonts w:ascii="Times New Roman" w:eastAsia="Times New Roman" w:hAnsi="Times New Roman" w:cs="Times New Roman"/>
                <w:sz w:val="28"/>
                <w:szCs w:val="28"/>
                <w:lang w:eastAsia="es-CL"/>
              </w:rPr>
              <w:t>Año</w:t>
            </w:r>
          </w:p>
        </w:tc>
      </w:tr>
      <w:tr w:rsidR="007D4C82" w:rsidRPr="007D4C82" w:rsidTr="007D4C82">
        <w:tc>
          <w:tcPr>
            <w:tcW w:w="6"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rsidR="007D4C82" w:rsidRPr="007D4C82" w:rsidRDefault="007D4C82" w:rsidP="007D4C82">
            <w:pPr>
              <w:spacing w:after="0" w:line="240" w:lineRule="auto"/>
              <w:rPr>
                <w:rFonts w:ascii="Times New Roman" w:eastAsia="Times New Roman" w:hAnsi="Times New Roman" w:cs="Times New Roman"/>
                <w:sz w:val="28"/>
                <w:szCs w:val="28"/>
                <w:lang w:eastAsia="es-CL"/>
              </w:rPr>
            </w:pPr>
          </w:p>
        </w:tc>
        <w:tc>
          <w:tcPr>
            <w:tcW w:w="6"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rsidR="007D4C82" w:rsidRPr="007D4C82" w:rsidRDefault="007D4C82" w:rsidP="007D4C82">
            <w:pPr>
              <w:spacing w:after="0" w:line="240" w:lineRule="auto"/>
              <w:rPr>
                <w:rFonts w:ascii="Times New Roman" w:eastAsia="Times New Roman" w:hAnsi="Times New Roman" w:cs="Times New Roman"/>
                <w:sz w:val="28"/>
                <w:szCs w:val="28"/>
                <w:lang w:eastAsia="es-CL"/>
              </w:rPr>
            </w:pPr>
          </w:p>
        </w:tc>
        <w:tc>
          <w:tcPr>
            <w:tcW w:w="6"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rsidR="007D4C82" w:rsidRPr="007D4C82" w:rsidRDefault="007D4C82" w:rsidP="007D4C82">
            <w:pPr>
              <w:spacing w:after="0" w:line="240" w:lineRule="auto"/>
              <w:rPr>
                <w:rFonts w:ascii="Times New Roman" w:eastAsia="Times New Roman" w:hAnsi="Times New Roman" w:cs="Times New Roman"/>
                <w:sz w:val="28"/>
                <w:szCs w:val="28"/>
                <w:lang w:eastAsia="es-CL"/>
              </w:rPr>
            </w:pPr>
          </w:p>
        </w:tc>
      </w:tr>
    </w:tbl>
    <w:p w:rsidR="007D4C82" w:rsidRPr="007D4C82" w:rsidRDefault="007D4C82" w:rsidP="007D4C82">
      <w:pPr>
        <w:shd w:val="clear" w:color="auto" w:fill="FFFFFF"/>
        <w:spacing w:before="100" w:beforeAutospacing="1" w:after="100" w:afterAutospacing="1" w:line="240" w:lineRule="auto"/>
        <w:jc w:val="center"/>
        <w:outlineLvl w:val="3"/>
        <w:rPr>
          <w:rFonts w:ascii="Lato" w:eastAsia="Times New Roman" w:hAnsi="Lato" w:cs="Times New Roman"/>
          <w:b/>
          <w:bCs/>
          <w:color w:val="333333"/>
          <w:spacing w:val="12"/>
          <w:sz w:val="28"/>
          <w:szCs w:val="28"/>
          <w:lang w:eastAsia="es-CL"/>
        </w:rPr>
      </w:pPr>
      <w:r w:rsidRPr="007D4C82">
        <w:rPr>
          <w:rFonts w:ascii="Lato" w:eastAsia="Times New Roman" w:hAnsi="Lato" w:cs="Times New Roman"/>
          <w:b/>
          <w:bCs/>
          <w:color w:val="333333"/>
          <w:spacing w:val="12"/>
          <w:sz w:val="28"/>
          <w:szCs w:val="28"/>
          <w:lang w:eastAsia="es-CL"/>
        </w:rPr>
        <w:t>FUENTES LEGALES</w:t>
      </w:r>
    </w:p>
    <w:p w:rsidR="007D4C82" w:rsidRPr="007D4C82" w:rsidRDefault="007D4C82" w:rsidP="007D4C82">
      <w:pPr>
        <w:shd w:val="clear" w:color="auto" w:fill="FFFFFF"/>
        <w:spacing w:after="0" w:line="240" w:lineRule="auto"/>
        <w:jc w:val="both"/>
        <w:rPr>
          <w:rFonts w:ascii="Lato" w:eastAsia="Times New Roman" w:hAnsi="Lato" w:cs="Times New Roman"/>
          <w:color w:val="333333"/>
          <w:spacing w:val="-1"/>
          <w:sz w:val="28"/>
          <w:szCs w:val="28"/>
          <w:lang w:eastAsia="es-CL"/>
        </w:rPr>
      </w:pPr>
      <w:proofErr w:type="gramStart"/>
      <w:r w:rsidRPr="007D4C82">
        <w:rPr>
          <w:rFonts w:ascii="Lato" w:eastAsia="Times New Roman" w:hAnsi="Lato" w:cs="Times New Roman"/>
          <w:color w:val="0000FF"/>
          <w:spacing w:val="-1"/>
          <w:sz w:val="28"/>
          <w:szCs w:val="28"/>
          <w:u w:val="single"/>
          <w:lang w:eastAsia="es-CL"/>
        </w:rPr>
        <w:t>ley</w:t>
      </w:r>
      <w:proofErr w:type="gramEnd"/>
      <w:r w:rsidRPr="007D4C82">
        <w:rPr>
          <w:rFonts w:ascii="Lato" w:eastAsia="Times New Roman" w:hAnsi="Lato" w:cs="Times New Roman"/>
          <w:color w:val="0000FF"/>
          <w:spacing w:val="-1"/>
          <w:sz w:val="28"/>
          <w:szCs w:val="28"/>
          <w:u w:val="single"/>
          <w:lang w:eastAsia="es-CL"/>
        </w:rPr>
        <w:t xml:space="preserve"> 19933 art/6 </w:t>
      </w:r>
      <w:proofErr w:type="spellStart"/>
      <w:r w:rsidRPr="007D4C82">
        <w:rPr>
          <w:rFonts w:ascii="Lato" w:eastAsia="Times New Roman" w:hAnsi="Lato" w:cs="Times New Roman"/>
          <w:color w:val="0000FF"/>
          <w:spacing w:val="-1"/>
          <w:sz w:val="28"/>
          <w:szCs w:val="28"/>
          <w:u w:val="single"/>
          <w:lang w:eastAsia="es-CL"/>
        </w:rPr>
        <w:t>tran</w:t>
      </w:r>
      <w:proofErr w:type="spellEnd"/>
      <w:r w:rsidRPr="007D4C82">
        <w:rPr>
          <w:rFonts w:ascii="Lato" w:eastAsia="Times New Roman" w:hAnsi="Lato" w:cs="Times New Roman"/>
          <w:color w:val="0000FF"/>
          <w:spacing w:val="-1"/>
          <w:sz w:val="28"/>
          <w:szCs w:val="28"/>
          <w:u w:val="single"/>
          <w:lang w:eastAsia="es-CL"/>
        </w:rPr>
        <w:t xml:space="preserve"> </w:t>
      </w:r>
      <w:proofErr w:type="spellStart"/>
      <w:r w:rsidRPr="007D4C82">
        <w:rPr>
          <w:rFonts w:ascii="Lato" w:eastAsia="Times New Roman" w:hAnsi="Lato" w:cs="Times New Roman"/>
          <w:color w:val="0000FF"/>
          <w:spacing w:val="-1"/>
          <w:sz w:val="28"/>
          <w:szCs w:val="28"/>
          <w:u w:val="single"/>
          <w:lang w:eastAsia="es-CL"/>
        </w:rPr>
        <w:t>inc</w:t>
      </w:r>
      <w:proofErr w:type="spellEnd"/>
      <w:r w:rsidRPr="007D4C82">
        <w:rPr>
          <w:rFonts w:ascii="Lato" w:eastAsia="Times New Roman" w:hAnsi="Lato" w:cs="Times New Roman"/>
          <w:color w:val="0000FF"/>
          <w:spacing w:val="-1"/>
          <w:sz w:val="28"/>
          <w:szCs w:val="28"/>
          <w:u w:val="single"/>
          <w:lang w:eastAsia="es-CL"/>
        </w:rPr>
        <w:t>/5</w:t>
      </w:r>
      <w:r w:rsidRPr="007D4C82">
        <w:rPr>
          <w:rFonts w:ascii="Lato" w:eastAsia="Times New Roman" w:hAnsi="Lato" w:cs="Times New Roman"/>
          <w:color w:val="333333"/>
          <w:spacing w:val="-1"/>
          <w:sz w:val="28"/>
          <w:szCs w:val="28"/>
          <w:lang w:eastAsia="es-CL"/>
        </w:rPr>
        <w:t>,</w:t>
      </w:r>
      <w:r w:rsidRPr="007D4C82">
        <w:rPr>
          <w:rFonts w:ascii="Lato" w:eastAsia="Times New Roman" w:hAnsi="Lato" w:cs="Times New Roman"/>
          <w:color w:val="0000FF"/>
          <w:spacing w:val="-1"/>
          <w:sz w:val="28"/>
          <w:szCs w:val="28"/>
          <w:u w:val="single"/>
          <w:lang w:eastAsia="es-CL"/>
        </w:rPr>
        <w:t> </w:t>
      </w:r>
      <w:proofErr w:type="spellStart"/>
      <w:r w:rsidRPr="007D4C82">
        <w:rPr>
          <w:rFonts w:ascii="Lato" w:eastAsia="Times New Roman" w:hAnsi="Lato" w:cs="Times New Roman"/>
          <w:color w:val="0000FF"/>
          <w:spacing w:val="-1"/>
          <w:sz w:val="28"/>
          <w:szCs w:val="28"/>
          <w:u w:val="single"/>
          <w:lang w:eastAsia="es-CL"/>
        </w:rPr>
        <w:t>dto</w:t>
      </w:r>
      <w:proofErr w:type="spellEnd"/>
      <w:r w:rsidRPr="007D4C82">
        <w:rPr>
          <w:rFonts w:ascii="Lato" w:eastAsia="Times New Roman" w:hAnsi="Lato" w:cs="Times New Roman"/>
          <w:color w:val="0000FF"/>
          <w:spacing w:val="-1"/>
          <w:sz w:val="28"/>
          <w:szCs w:val="28"/>
          <w:u w:val="single"/>
          <w:lang w:eastAsia="es-CL"/>
        </w:rPr>
        <w:t xml:space="preserve"> 128/2004 educa art/13 ley 19070 art/41</w:t>
      </w:r>
      <w:r w:rsidRPr="007D4C82">
        <w:rPr>
          <w:rFonts w:ascii="Lato" w:eastAsia="Times New Roman" w:hAnsi="Lato" w:cs="Times New Roman"/>
          <w:color w:val="333333"/>
          <w:spacing w:val="-1"/>
          <w:sz w:val="28"/>
          <w:szCs w:val="28"/>
          <w:lang w:eastAsia="es-CL"/>
        </w:rPr>
        <w:t>, </w:t>
      </w:r>
      <w:proofErr w:type="spellStart"/>
      <w:r w:rsidRPr="007D4C82">
        <w:rPr>
          <w:rFonts w:ascii="Lato" w:eastAsia="Times New Roman" w:hAnsi="Lato" w:cs="Times New Roman"/>
          <w:color w:val="333333"/>
          <w:spacing w:val="-1"/>
          <w:sz w:val="28"/>
          <w:szCs w:val="28"/>
          <w:lang w:eastAsia="es-CL"/>
        </w:rPr>
        <w:t>dfl</w:t>
      </w:r>
      <w:proofErr w:type="spellEnd"/>
      <w:r w:rsidRPr="007D4C82">
        <w:rPr>
          <w:rFonts w:ascii="Lato" w:eastAsia="Times New Roman" w:hAnsi="Lato" w:cs="Times New Roman"/>
          <w:color w:val="333333"/>
          <w:spacing w:val="-1"/>
          <w:sz w:val="28"/>
          <w:szCs w:val="28"/>
          <w:lang w:eastAsia="es-CL"/>
        </w:rPr>
        <w:t xml:space="preserve"> 1/96 educa ,</w:t>
      </w:r>
    </w:p>
    <w:p w:rsidR="007D4C82" w:rsidRPr="007D4C82" w:rsidRDefault="007D4C82" w:rsidP="007D4C82">
      <w:pPr>
        <w:shd w:val="clear" w:color="auto" w:fill="FFFFFF"/>
        <w:spacing w:before="100" w:beforeAutospacing="1" w:after="100" w:afterAutospacing="1" w:line="240" w:lineRule="auto"/>
        <w:jc w:val="center"/>
        <w:outlineLvl w:val="3"/>
        <w:rPr>
          <w:rFonts w:ascii="Lato" w:eastAsia="Times New Roman" w:hAnsi="Lato" w:cs="Times New Roman"/>
          <w:b/>
          <w:bCs/>
          <w:color w:val="333333"/>
          <w:spacing w:val="12"/>
          <w:sz w:val="28"/>
          <w:szCs w:val="28"/>
          <w:lang w:eastAsia="es-CL"/>
        </w:rPr>
      </w:pPr>
      <w:r w:rsidRPr="007D4C82">
        <w:rPr>
          <w:rFonts w:ascii="Lato" w:eastAsia="Times New Roman" w:hAnsi="Lato" w:cs="Times New Roman"/>
          <w:b/>
          <w:bCs/>
          <w:color w:val="333333"/>
          <w:spacing w:val="12"/>
          <w:sz w:val="28"/>
          <w:szCs w:val="28"/>
          <w:lang w:eastAsia="es-CL"/>
        </w:rPr>
        <w:t>MATERIA</w:t>
      </w:r>
    </w:p>
    <w:p w:rsidR="007D4C82" w:rsidRPr="007D4C82" w:rsidRDefault="007D4C82" w:rsidP="007D4C82">
      <w:pPr>
        <w:shd w:val="clear" w:color="auto" w:fill="FFFFFF"/>
        <w:spacing w:after="150" w:line="240" w:lineRule="auto"/>
        <w:jc w:val="both"/>
        <w:rPr>
          <w:rFonts w:ascii="Lato" w:eastAsia="Times New Roman" w:hAnsi="Lato" w:cs="Times New Roman"/>
          <w:color w:val="333333"/>
          <w:spacing w:val="-1"/>
          <w:sz w:val="28"/>
          <w:szCs w:val="28"/>
          <w:lang w:eastAsia="es-CL"/>
        </w:rPr>
      </w:pPr>
      <w:r>
        <w:rPr>
          <w:rFonts w:ascii="Lato" w:eastAsia="Times New Roman" w:hAnsi="Lato" w:cs="Times New Roman"/>
          <w:color w:val="333333"/>
          <w:spacing w:val="-1"/>
          <w:sz w:val="28"/>
          <w:szCs w:val="28"/>
          <w:lang w:eastAsia="es-CL"/>
        </w:rPr>
        <w:t>Conforme al artí</w:t>
      </w:r>
      <w:r w:rsidRPr="007D4C82">
        <w:rPr>
          <w:rFonts w:ascii="Lato" w:eastAsia="Times New Roman" w:hAnsi="Lato" w:cs="Times New Roman"/>
          <w:color w:val="333333"/>
          <w:spacing w:val="-1"/>
          <w:sz w:val="28"/>
          <w:szCs w:val="28"/>
          <w:lang w:eastAsia="es-CL"/>
        </w:rPr>
        <w:t>culo 6 transitorio de la ley 199</w:t>
      </w:r>
      <w:r>
        <w:rPr>
          <w:rFonts w:ascii="Lato" w:eastAsia="Times New Roman" w:hAnsi="Lato" w:cs="Times New Roman"/>
          <w:color w:val="333333"/>
          <w:spacing w:val="-1"/>
          <w:sz w:val="28"/>
          <w:szCs w:val="28"/>
          <w:lang w:eastAsia="es-CL"/>
        </w:rPr>
        <w:t>33, para calcular la bonificació</w:t>
      </w:r>
      <w:r w:rsidRPr="007D4C82">
        <w:rPr>
          <w:rFonts w:ascii="Lato" w:eastAsia="Times New Roman" w:hAnsi="Lato" w:cs="Times New Roman"/>
          <w:color w:val="333333"/>
          <w:spacing w:val="-1"/>
          <w:sz w:val="28"/>
          <w:szCs w:val="28"/>
          <w:lang w:eastAsia="es-CL"/>
        </w:rPr>
        <w:t xml:space="preserve">n por retiro voluntario para </w:t>
      </w:r>
      <w:r>
        <w:rPr>
          <w:rFonts w:ascii="Lato" w:eastAsia="Times New Roman" w:hAnsi="Lato" w:cs="Times New Roman"/>
          <w:color w:val="333333"/>
          <w:spacing w:val="-1"/>
          <w:sz w:val="28"/>
          <w:szCs w:val="28"/>
          <w:lang w:eastAsia="es-CL"/>
        </w:rPr>
        <w:t>los profesionales de la educació</w:t>
      </w:r>
      <w:r w:rsidRPr="007D4C82">
        <w:rPr>
          <w:rFonts w:ascii="Lato" w:eastAsia="Times New Roman" w:hAnsi="Lato" w:cs="Times New Roman"/>
          <w:color w:val="333333"/>
          <w:spacing w:val="-1"/>
          <w:sz w:val="28"/>
          <w:szCs w:val="28"/>
          <w:lang w:eastAsia="es-CL"/>
        </w:rPr>
        <w:t>n que dicho precepto establece, deben considerarse los periodos servidos en el municipio, sean o no continuos, por cuanto la no</w:t>
      </w:r>
      <w:r>
        <w:rPr>
          <w:rFonts w:ascii="Lato" w:eastAsia="Times New Roman" w:hAnsi="Lato" w:cs="Times New Roman"/>
          <w:color w:val="333333"/>
          <w:spacing w:val="-1"/>
          <w:sz w:val="28"/>
          <w:szCs w:val="28"/>
          <w:lang w:eastAsia="es-CL"/>
        </w:rPr>
        <w:t>rma solamente exige la prestación de servicios sin solució</w:t>
      </w:r>
      <w:r w:rsidRPr="007D4C82">
        <w:rPr>
          <w:rFonts w:ascii="Lato" w:eastAsia="Times New Roman" w:hAnsi="Lato" w:cs="Times New Roman"/>
          <w:color w:val="333333"/>
          <w:spacing w:val="-1"/>
          <w:sz w:val="28"/>
          <w:szCs w:val="28"/>
          <w:lang w:eastAsia="es-CL"/>
        </w:rPr>
        <w:t>n de cont</w:t>
      </w:r>
      <w:r>
        <w:rPr>
          <w:rFonts w:ascii="Lato" w:eastAsia="Times New Roman" w:hAnsi="Lato" w:cs="Times New Roman"/>
          <w:color w:val="333333"/>
          <w:spacing w:val="-1"/>
          <w:sz w:val="28"/>
          <w:szCs w:val="28"/>
          <w:lang w:eastAsia="es-CL"/>
        </w:rPr>
        <w:t>inuidad, tratándose del desempeñ</w:t>
      </w:r>
      <w:r w:rsidRPr="007D4C82">
        <w:rPr>
          <w:rFonts w:ascii="Lato" w:eastAsia="Times New Roman" w:hAnsi="Lato" w:cs="Times New Roman"/>
          <w:color w:val="333333"/>
          <w:spacing w:val="-1"/>
          <w:sz w:val="28"/>
          <w:szCs w:val="28"/>
          <w:lang w:eastAsia="es-CL"/>
        </w:rPr>
        <w:t>o en otras municipalidade</w:t>
      </w:r>
      <w:r>
        <w:rPr>
          <w:rFonts w:ascii="Lato" w:eastAsia="Times New Roman" w:hAnsi="Lato" w:cs="Times New Roman"/>
          <w:color w:val="333333"/>
          <w:spacing w:val="-1"/>
          <w:sz w:val="28"/>
          <w:szCs w:val="28"/>
          <w:lang w:eastAsia="es-CL"/>
        </w:rPr>
        <w:t>s o corporaciones municipales. C</w:t>
      </w:r>
      <w:r w:rsidRPr="007D4C82">
        <w:rPr>
          <w:rFonts w:ascii="Lato" w:eastAsia="Times New Roman" w:hAnsi="Lato" w:cs="Times New Roman"/>
          <w:color w:val="333333"/>
          <w:spacing w:val="-1"/>
          <w:sz w:val="28"/>
          <w:szCs w:val="28"/>
          <w:lang w:eastAsia="es-CL"/>
        </w:rPr>
        <w:t xml:space="preserve">on todo, esos </w:t>
      </w:r>
      <w:r>
        <w:rPr>
          <w:rFonts w:ascii="Lato" w:eastAsia="Times New Roman" w:hAnsi="Lato" w:cs="Times New Roman"/>
          <w:color w:val="333333"/>
          <w:spacing w:val="-1"/>
          <w:sz w:val="28"/>
          <w:szCs w:val="28"/>
          <w:lang w:eastAsia="es-CL"/>
        </w:rPr>
        <w:t>periodos deben corresponder a añ</w:t>
      </w:r>
      <w:r w:rsidRPr="007D4C82">
        <w:rPr>
          <w:rFonts w:ascii="Lato" w:eastAsia="Times New Roman" w:hAnsi="Lato" w:cs="Times New Roman"/>
          <w:color w:val="333333"/>
          <w:spacing w:val="-1"/>
          <w:sz w:val="28"/>
          <w:szCs w:val="28"/>
          <w:lang w:eastAsia="es-CL"/>
        </w:rPr>
        <w:t xml:space="preserve">os completos de servicios, no pudiendo considerarse las fracciones superiores a seis meses, porque la ley no lo ha establecido expresamente. </w:t>
      </w:r>
      <w:r>
        <w:rPr>
          <w:rFonts w:ascii="Lato" w:eastAsia="Times New Roman" w:hAnsi="Lato" w:cs="Times New Roman"/>
          <w:color w:val="333333"/>
          <w:spacing w:val="-1"/>
          <w:sz w:val="28"/>
          <w:szCs w:val="28"/>
          <w:lang w:eastAsia="es-CL"/>
        </w:rPr>
        <w:t>P</w:t>
      </w:r>
      <w:r w:rsidRPr="007D4C82">
        <w:rPr>
          <w:rFonts w:ascii="Lato" w:eastAsia="Times New Roman" w:hAnsi="Lato" w:cs="Times New Roman"/>
          <w:color w:val="333333"/>
          <w:spacing w:val="-1"/>
          <w:sz w:val="28"/>
          <w:szCs w:val="28"/>
          <w:lang w:eastAsia="es-CL"/>
        </w:rPr>
        <w:t>or otra parte, conforme al inciso 5 del citado ar</w:t>
      </w:r>
      <w:r>
        <w:rPr>
          <w:rFonts w:ascii="Lato" w:eastAsia="Times New Roman" w:hAnsi="Lato" w:cs="Times New Roman"/>
          <w:color w:val="333333"/>
          <w:spacing w:val="-1"/>
          <w:sz w:val="28"/>
          <w:szCs w:val="28"/>
          <w:lang w:eastAsia="es-CL"/>
        </w:rPr>
        <w:t>t/6 transitorio, la formalizació</w:t>
      </w:r>
      <w:r w:rsidRPr="007D4C82">
        <w:rPr>
          <w:rFonts w:ascii="Lato" w:eastAsia="Times New Roman" w:hAnsi="Lato" w:cs="Times New Roman"/>
          <w:color w:val="333333"/>
          <w:spacing w:val="-1"/>
          <w:sz w:val="28"/>
          <w:szCs w:val="28"/>
          <w:lang w:eastAsia="es-CL"/>
        </w:rPr>
        <w:t>n de la renuncia volun</w:t>
      </w:r>
      <w:r>
        <w:rPr>
          <w:rFonts w:ascii="Lato" w:eastAsia="Times New Roman" w:hAnsi="Lato" w:cs="Times New Roman"/>
          <w:color w:val="333333"/>
          <w:spacing w:val="-1"/>
          <w:sz w:val="28"/>
          <w:szCs w:val="28"/>
          <w:lang w:eastAsia="es-CL"/>
        </w:rPr>
        <w:t>taria y el término de la relació</w:t>
      </w:r>
      <w:r w:rsidRPr="007D4C82">
        <w:rPr>
          <w:rFonts w:ascii="Lato" w:eastAsia="Times New Roman" w:hAnsi="Lato" w:cs="Times New Roman"/>
          <w:color w:val="333333"/>
          <w:spacing w:val="-1"/>
          <w:sz w:val="28"/>
          <w:szCs w:val="28"/>
          <w:lang w:eastAsia="es-CL"/>
        </w:rPr>
        <w:t>n laboral de los doce</w:t>
      </w:r>
      <w:r>
        <w:rPr>
          <w:rFonts w:ascii="Lato" w:eastAsia="Times New Roman" w:hAnsi="Lato" w:cs="Times New Roman"/>
          <w:color w:val="333333"/>
          <w:spacing w:val="-1"/>
          <w:sz w:val="28"/>
          <w:szCs w:val="28"/>
          <w:lang w:eastAsia="es-CL"/>
        </w:rPr>
        <w:t>ntes solo se producirá</w:t>
      </w:r>
      <w:r w:rsidRPr="007D4C82">
        <w:rPr>
          <w:rFonts w:ascii="Lato" w:eastAsia="Times New Roman" w:hAnsi="Lato" w:cs="Times New Roman"/>
          <w:color w:val="333333"/>
          <w:spacing w:val="-1"/>
          <w:sz w:val="28"/>
          <w:szCs w:val="28"/>
          <w:lang w:eastAsia="es-CL"/>
        </w:rPr>
        <w:t xml:space="preserve"> cuando el empleador pong</w:t>
      </w:r>
      <w:r>
        <w:rPr>
          <w:rFonts w:ascii="Lato" w:eastAsia="Times New Roman" w:hAnsi="Lato" w:cs="Times New Roman"/>
          <w:color w:val="333333"/>
          <w:spacing w:val="-1"/>
          <w:sz w:val="28"/>
          <w:szCs w:val="28"/>
          <w:lang w:eastAsia="es-CL"/>
        </w:rPr>
        <w:t>a la totalidad de la bonificación correspondiente a disposición de los interesados. P</w:t>
      </w:r>
      <w:r w:rsidRPr="007D4C82">
        <w:rPr>
          <w:rFonts w:ascii="Lato" w:eastAsia="Times New Roman" w:hAnsi="Lato" w:cs="Times New Roman"/>
          <w:color w:val="333333"/>
          <w:spacing w:val="-1"/>
          <w:sz w:val="28"/>
          <w:szCs w:val="28"/>
          <w:lang w:eastAsia="es-CL"/>
        </w:rPr>
        <w:t>or ende, hasta esa fecha tales beneficiarios tienen derecho a percibir las correspondientes remuneraciones, sea que se encuentren o no gozando d</w:t>
      </w:r>
      <w:r>
        <w:rPr>
          <w:rFonts w:ascii="Lato" w:eastAsia="Times New Roman" w:hAnsi="Lato" w:cs="Times New Roman"/>
          <w:color w:val="333333"/>
          <w:spacing w:val="-1"/>
          <w:sz w:val="28"/>
          <w:szCs w:val="28"/>
          <w:lang w:eastAsia="es-CL"/>
        </w:rPr>
        <w:t>el feriado que establece el artí</w:t>
      </w:r>
      <w:r w:rsidRPr="007D4C82">
        <w:rPr>
          <w:rFonts w:ascii="Lato" w:eastAsia="Times New Roman" w:hAnsi="Lato" w:cs="Times New Roman"/>
          <w:color w:val="333333"/>
          <w:spacing w:val="-1"/>
          <w:sz w:val="28"/>
          <w:szCs w:val="28"/>
          <w:lang w:eastAsia="es-CL"/>
        </w:rPr>
        <w:t>culo 41 de ley 19070, ya que a esa da</w:t>
      </w:r>
      <w:r>
        <w:rPr>
          <w:rFonts w:ascii="Lato" w:eastAsia="Times New Roman" w:hAnsi="Lato" w:cs="Times New Roman"/>
          <w:color w:val="333333"/>
          <w:spacing w:val="-1"/>
          <w:sz w:val="28"/>
          <w:szCs w:val="28"/>
          <w:lang w:eastAsia="es-CL"/>
        </w:rPr>
        <w:t>ta se producirá la desvinculació</w:t>
      </w:r>
      <w:r w:rsidRPr="007D4C82">
        <w:rPr>
          <w:rFonts w:ascii="Lato" w:eastAsia="Times New Roman" w:hAnsi="Lato" w:cs="Times New Roman"/>
          <w:color w:val="333333"/>
          <w:spacing w:val="-1"/>
          <w:sz w:val="28"/>
          <w:szCs w:val="28"/>
          <w:lang w:eastAsia="es-CL"/>
        </w:rPr>
        <w:t>n</w:t>
      </w:r>
    </w:p>
    <w:p w:rsidR="007D4C82" w:rsidRPr="007D4C82" w:rsidRDefault="007D4C82" w:rsidP="007D4C82">
      <w:pPr>
        <w:shd w:val="clear" w:color="auto" w:fill="FFFFFF"/>
        <w:spacing w:before="100" w:beforeAutospacing="1" w:after="100" w:afterAutospacing="1" w:line="240" w:lineRule="auto"/>
        <w:jc w:val="center"/>
        <w:outlineLvl w:val="3"/>
        <w:rPr>
          <w:rFonts w:ascii="Lato" w:eastAsia="Times New Roman" w:hAnsi="Lato" w:cs="Times New Roman"/>
          <w:b/>
          <w:bCs/>
          <w:color w:val="333333"/>
          <w:spacing w:val="12"/>
          <w:sz w:val="28"/>
          <w:szCs w:val="28"/>
          <w:lang w:eastAsia="es-CL"/>
        </w:rPr>
      </w:pPr>
      <w:r w:rsidRPr="007D4C82">
        <w:rPr>
          <w:rFonts w:ascii="Lato" w:eastAsia="Times New Roman" w:hAnsi="Lato" w:cs="Times New Roman"/>
          <w:b/>
          <w:bCs/>
          <w:color w:val="333333"/>
          <w:spacing w:val="12"/>
          <w:sz w:val="28"/>
          <w:szCs w:val="28"/>
          <w:lang w:eastAsia="es-CL"/>
        </w:rPr>
        <w:t>DOCUMENTO COMPLETO</w:t>
      </w:r>
    </w:p>
    <w:p w:rsidR="007D4C82" w:rsidRPr="007D4C82" w:rsidRDefault="007D4C82" w:rsidP="007D4C82">
      <w:pPr>
        <w:shd w:val="clear" w:color="auto" w:fill="FFFFFF"/>
        <w:spacing w:after="150" w:line="240" w:lineRule="auto"/>
        <w:jc w:val="both"/>
        <w:rPr>
          <w:rFonts w:ascii="Lato" w:eastAsia="Times New Roman" w:hAnsi="Lato" w:cs="Times New Roman"/>
          <w:color w:val="333333"/>
          <w:spacing w:val="-1"/>
          <w:sz w:val="28"/>
          <w:szCs w:val="28"/>
          <w:lang w:eastAsia="es-CL"/>
        </w:rPr>
      </w:pPr>
      <w:r w:rsidRPr="007D4C82">
        <w:rPr>
          <w:rFonts w:ascii="Lato" w:eastAsia="Times New Roman" w:hAnsi="Lato" w:cs="Arial"/>
          <w:b/>
          <w:bCs/>
          <w:color w:val="333333"/>
          <w:spacing w:val="-1"/>
          <w:sz w:val="28"/>
          <w:szCs w:val="28"/>
          <w:lang w:eastAsia="es-CL"/>
        </w:rPr>
        <w:t xml:space="preserve">N° 11.911 Fecha: 8-III-2005 </w:t>
      </w:r>
    </w:p>
    <w:p w:rsidR="007D4C82" w:rsidRPr="007D4C82" w:rsidRDefault="007D4C82" w:rsidP="007D4C82">
      <w:pPr>
        <w:shd w:val="clear" w:color="auto" w:fill="FFFFFF"/>
        <w:spacing w:after="150" w:line="240" w:lineRule="auto"/>
        <w:jc w:val="both"/>
        <w:rPr>
          <w:rFonts w:ascii="Lato" w:eastAsia="Times New Roman" w:hAnsi="Lato" w:cs="Times New Roman"/>
          <w:color w:val="333333"/>
          <w:spacing w:val="-1"/>
          <w:sz w:val="28"/>
          <w:szCs w:val="28"/>
          <w:lang w:eastAsia="es-CL"/>
        </w:rPr>
      </w:pPr>
      <w:r w:rsidRPr="007D4C82">
        <w:rPr>
          <w:rFonts w:ascii="Lato" w:eastAsia="Times New Roman" w:hAnsi="Lato" w:cs="Arial"/>
          <w:color w:val="333333"/>
          <w:spacing w:val="-1"/>
          <w:sz w:val="28"/>
          <w:szCs w:val="28"/>
          <w:lang w:eastAsia="es-CL"/>
        </w:rPr>
        <w:t xml:space="preserve">Doña XX. se ha dirigido a esta Contraloría General solicitando un pronunciamiento acerca de si corresponde que en el cálculo de la bonificación por retiro voluntario que establece para los profesionales de la educación, el </w:t>
      </w:r>
      <w:r w:rsidRPr="007D4C82">
        <w:rPr>
          <w:rFonts w:ascii="Lato" w:eastAsia="Times New Roman" w:hAnsi="Lato" w:cs="Arial"/>
          <w:color w:val="333333"/>
          <w:spacing w:val="-1"/>
          <w:sz w:val="28"/>
          <w:szCs w:val="28"/>
          <w:lang w:eastAsia="es-CL"/>
        </w:rPr>
        <w:lastRenderedPageBreak/>
        <w:t xml:space="preserve">artículo 6° transitorio de Ley N° 19.933, se considere como parte de los años de servicios aquellos desempeñados con anterioridad a su ingreso como titular en la dotación docente municipal y aquellas fracciones superiores a seis meses y si le asiste el derecho al pago del respectivo feriado legal. </w:t>
      </w:r>
    </w:p>
    <w:p w:rsidR="007D4C82" w:rsidRPr="007D4C82" w:rsidRDefault="007D4C82" w:rsidP="007D4C82">
      <w:pPr>
        <w:shd w:val="clear" w:color="auto" w:fill="FFFFFF"/>
        <w:spacing w:after="150" w:line="240" w:lineRule="auto"/>
        <w:jc w:val="both"/>
        <w:rPr>
          <w:rFonts w:ascii="Lato" w:eastAsia="Times New Roman" w:hAnsi="Lato" w:cs="Times New Roman"/>
          <w:color w:val="333333"/>
          <w:spacing w:val="-1"/>
          <w:sz w:val="28"/>
          <w:szCs w:val="28"/>
          <w:lang w:eastAsia="es-CL"/>
        </w:rPr>
      </w:pPr>
      <w:r w:rsidRPr="007D4C82">
        <w:rPr>
          <w:rFonts w:ascii="Lato" w:eastAsia="Times New Roman" w:hAnsi="Lato" w:cs="Arial"/>
          <w:color w:val="333333"/>
          <w:spacing w:val="-1"/>
          <w:sz w:val="28"/>
          <w:szCs w:val="28"/>
          <w:lang w:eastAsia="es-CL"/>
        </w:rPr>
        <w:t xml:space="preserve">Requerido informe a la Municipalidad de Santiago, ésta lo ha evacuado mediante el Oficio N° 1.354 de 2004. </w:t>
      </w:r>
    </w:p>
    <w:p w:rsidR="007D4C82" w:rsidRPr="007D4C82" w:rsidRDefault="007D4C82" w:rsidP="007D4C82">
      <w:pPr>
        <w:shd w:val="clear" w:color="auto" w:fill="FFFFFF"/>
        <w:spacing w:after="150" w:line="240" w:lineRule="auto"/>
        <w:jc w:val="both"/>
        <w:rPr>
          <w:rFonts w:ascii="Lato" w:eastAsia="Times New Roman" w:hAnsi="Lato" w:cs="Times New Roman"/>
          <w:color w:val="333333"/>
          <w:spacing w:val="-1"/>
          <w:sz w:val="28"/>
          <w:szCs w:val="28"/>
          <w:lang w:eastAsia="es-CL"/>
        </w:rPr>
      </w:pPr>
      <w:r w:rsidRPr="007D4C82">
        <w:rPr>
          <w:rFonts w:ascii="Lato" w:eastAsia="Times New Roman" w:hAnsi="Lato" w:cs="Arial"/>
          <w:color w:val="333333"/>
          <w:spacing w:val="-1"/>
          <w:sz w:val="28"/>
          <w:szCs w:val="28"/>
          <w:lang w:eastAsia="es-CL"/>
        </w:rPr>
        <w:t xml:space="preserve">Sobre el particular y en primer término, cabe señalar que al tenor de lo dispuesto en esa norma legal, tendrán derecho a la bonificación por retiro voluntario, los profesionales de la educación que presten servicios en los establecimientos educacionales del sector municipal, administrados ya sea directamente por las municipalidades o a través de corporaciones municipales, que a la fecha de publicación de la ley -12 de febrero de 2004- tengan 65 o más años de edad, si son hombres, y 60 o más años de edad, si son mujeres, y comuniquen su decisión de renunciar voluntariamente a una dotación docente del sector municipal, respecto del total de horas que sirvan, en los 12 meses siguientes a aquél de la fecha de publicación del reglamento de este artículo. Tal comunicación deberán efectuarla dentro de los doce meses siguientes al 14 de julio de 2004, fecha de publicación del Decreto N° 128, de 2004, del Ministerio de Educación, que aprueba el reglamento antes aludido. </w:t>
      </w:r>
    </w:p>
    <w:p w:rsidR="007D4C82" w:rsidRPr="007D4C82" w:rsidRDefault="007D4C82" w:rsidP="007D4C82">
      <w:pPr>
        <w:shd w:val="clear" w:color="auto" w:fill="FFFFFF"/>
        <w:spacing w:after="150" w:line="240" w:lineRule="auto"/>
        <w:jc w:val="both"/>
        <w:rPr>
          <w:rFonts w:ascii="Lato" w:eastAsia="Times New Roman" w:hAnsi="Lato" w:cs="Times New Roman"/>
          <w:color w:val="333333"/>
          <w:spacing w:val="-1"/>
          <w:sz w:val="28"/>
          <w:szCs w:val="28"/>
          <w:lang w:eastAsia="es-CL"/>
        </w:rPr>
      </w:pPr>
      <w:r w:rsidRPr="007D4C82">
        <w:rPr>
          <w:rFonts w:ascii="Lato" w:eastAsia="Times New Roman" w:hAnsi="Lato" w:cs="Arial"/>
          <w:color w:val="333333"/>
          <w:spacing w:val="-1"/>
          <w:sz w:val="28"/>
          <w:szCs w:val="28"/>
          <w:lang w:eastAsia="es-CL"/>
        </w:rPr>
        <w:t xml:space="preserve">El inciso segundo de ese precepto legal, dispone que los beneficiarios de la bonificación tendrán derecho a percibir el equivalente a un mes de remuneración imponible por cada año de servicios prestados a la respectiva municipalidad o corporación municipal, con un máximo de 11 meses. La remuneración que servirá de base para el cálculo de la bonificación, será la que resulte del promedio de las remuneraciones mensuales imponibles que le hayan correspondido al profesional de la educación durante los 12 meses inmediatamente anteriores al retiro, actualizadas según el índice de precios al consumidor determinado por el Instituto Nacional de Estadísticas. </w:t>
      </w:r>
    </w:p>
    <w:p w:rsidR="007D4C82" w:rsidRPr="007D4C82" w:rsidRDefault="007D4C82" w:rsidP="007D4C82">
      <w:pPr>
        <w:shd w:val="clear" w:color="auto" w:fill="FFFFFF"/>
        <w:spacing w:after="150" w:line="240" w:lineRule="auto"/>
        <w:jc w:val="both"/>
        <w:rPr>
          <w:rFonts w:ascii="Lato" w:eastAsia="Times New Roman" w:hAnsi="Lato" w:cs="Times New Roman"/>
          <w:color w:val="333333"/>
          <w:spacing w:val="-1"/>
          <w:sz w:val="28"/>
          <w:szCs w:val="28"/>
          <w:lang w:eastAsia="es-CL"/>
        </w:rPr>
      </w:pPr>
      <w:r w:rsidRPr="007D4C82">
        <w:rPr>
          <w:rFonts w:ascii="Lato" w:eastAsia="Times New Roman" w:hAnsi="Lato" w:cs="Arial"/>
          <w:color w:val="333333"/>
          <w:spacing w:val="-1"/>
          <w:sz w:val="28"/>
          <w:szCs w:val="28"/>
          <w:lang w:eastAsia="es-CL"/>
        </w:rPr>
        <w:t>Luego, el inciso tercero agrega que, si el profesional de la educación proviniere de otra municipalidad o corporación municipal, sin solución de continuidad, tendrá derecho a que le sea considerado todo el tiempo servido como tal en dichas instituciones, no pudiendo exceder del máximo fijado en el inciso anterior, es decir, de 11 meses</w:t>
      </w:r>
    </w:p>
    <w:p w:rsidR="007D4C82" w:rsidRPr="007D4C82" w:rsidRDefault="007D4C82" w:rsidP="007D4C82">
      <w:pPr>
        <w:shd w:val="clear" w:color="auto" w:fill="FFFFFF"/>
        <w:spacing w:after="150" w:line="240" w:lineRule="auto"/>
        <w:jc w:val="both"/>
        <w:rPr>
          <w:rFonts w:ascii="Lato" w:eastAsia="Times New Roman" w:hAnsi="Lato" w:cs="Times New Roman"/>
          <w:color w:val="333333"/>
          <w:spacing w:val="-1"/>
          <w:sz w:val="28"/>
          <w:szCs w:val="28"/>
          <w:lang w:eastAsia="es-CL"/>
        </w:rPr>
      </w:pPr>
      <w:r w:rsidRPr="007D4C82">
        <w:rPr>
          <w:rFonts w:ascii="Lato" w:eastAsia="Times New Roman" w:hAnsi="Lato" w:cs="Arial"/>
          <w:color w:val="333333"/>
          <w:spacing w:val="-1"/>
          <w:sz w:val="28"/>
          <w:szCs w:val="28"/>
          <w:highlight w:val="yellow"/>
          <w:lang w:eastAsia="es-CL"/>
        </w:rPr>
        <w:t xml:space="preserve">Al respecto y en cuanto al tiempo computable para efectos del cálculo de la bonificación de que se trata, cabe consignar que deben considerarse los períodos servidos en el municipio, sean o no continuos, por cuanto la norma legal en comento sólo exige la prestación de servicios sin solución de continuidad, </w:t>
      </w:r>
      <w:r w:rsidRPr="007D4C82">
        <w:rPr>
          <w:rFonts w:ascii="Lato" w:eastAsia="Times New Roman" w:hAnsi="Lato" w:cs="Arial"/>
          <w:color w:val="333333"/>
          <w:spacing w:val="-1"/>
          <w:sz w:val="28"/>
          <w:szCs w:val="28"/>
          <w:highlight w:val="yellow"/>
          <w:lang w:eastAsia="es-CL"/>
        </w:rPr>
        <w:lastRenderedPageBreak/>
        <w:t>tratándose del desempeño en otras municipalidades o corporaciones municipales. (Aplica criterio contenido en el Dictamen N° 34.752 de 2002).</w:t>
      </w:r>
      <w:r w:rsidRPr="007D4C82">
        <w:rPr>
          <w:rFonts w:ascii="Lato" w:eastAsia="Times New Roman" w:hAnsi="Lato" w:cs="Arial"/>
          <w:color w:val="333333"/>
          <w:spacing w:val="-1"/>
          <w:sz w:val="28"/>
          <w:szCs w:val="28"/>
          <w:lang w:eastAsia="es-CL"/>
        </w:rPr>
        <w:t xml:space="preserve"> </w:t>
      </w:r>
    </w:p>
    <w:p w:rsidR="007D4C82" w:rsidRPr="007D4C82" w:rsidRDefault="007D4C82" w:rsidP="007D4C82">
      <w:pPr>
        <w:shd w:val="clear" w:color="auto" w:fill="FFFFFF"/>
        <w:spacing w:after="150" w:line="240" w:lineRule="auto"/>
        <w:jc w:val="both"/>
        <w:rPr>
          <w:rFonts w:ascii="Lato" w:eastAsia="Times New Roman" w:hAnsi="Lato" w:cs="Times New Roman"/>
          <w:color w:val="333333"/>
          <w:spacing w:val="-1"/>
          <w:sz w:val="28"/>
          <w:szCs w:val="28"/>
          <w:lang w:eastAsia="es-CL"/>
        </w:rPr>
      </w:pPr>
      <w:r w:rsidRPr="007D4C82">
        <w:rPr>
          <w:rFonts w:ascii="Lato" w:eastAsia="Times New Roman" w:hAnsi="Lato" w:cs="Arial"/>
          <w:color w:val="333333"/>
          <w:spacing w:val="-1"/>
          <w:sz w:val="28"/>
          <w:szCs w:val="28"/>
          <w:lang w:eastAsia="es-CL"/>
        </w:rPr>
        <w:t xml:space="preserve">Con todo, cabe precisar que tales períodos deben corresponder a años completos de servicios, no pudiendo considerarse las fracciones superiores a seis meses, toda vez que la ley no lo ha establecido expresamente. </w:t>
      </w:r>
    </w:p>
    <w:p w:rsidR="007D4C82" w:rsidRPr="007D4C82" w:rsidRDefault="007D4C82" w:rsidP="007D4C82">
      <w:pPr>
        <w:shd w:val="clear" w:color="auto" w:fill="FFFFFF"/>
        <w:spacing w:after="150" w:line="240" w:lineRule="auto"/>
        <w:jc w:val="both"/>
        <w:rPr>
          <w:rFonts w:ascii="Lato" w:eastAsia="Times New Roman" w:hAnsi="Lato" w:cs="Times New Roman"/>
          <w:color w:val="333333"/>
          <w:spacing w:val="-1"/>
          <w:sz w:val="28"/>
          <w:szCs w:val="28"/>
          <w:lang w:eastAsia="es-CL"/>
        </w:rPr>
      </w:pPr>
      <w:r w:rsidRPr="007D4C82">
        <w:rPr>
          <w:rFonts w:ascii="Lato" w:eastAsia="Times New Roman" w:hAnsi="Lato" w:cs="Arial"/>
          <w:color w:val="333333"/>
          <w:spacing w:val="-1"/>
          <w:sz w:val="28"/>
          <w:szCs w:val="28"/>
          <w:lang w:eastAsia="es-CL"/>
        </w:rPr>
        <w:t xml:space="preserve">Luego, en lo que dice relación con el derecho de los docentes beneficiarios de la </w:t>
      </w:r>
      <w:bookmarkStart w:id="0" w:name="_GoBack"/>
      <w:bookmarkEnd w:id="0"/>
      <w:r w:rsidRPr="007D4C82">
        <w:rPr>
          <w:rFonts w:ascii="Lato" w:eastAsia="Times New Roman" w:hAnsi="Lato" w:cs="Arial"/>
          <w:color w:val="333333"/>
          <w:spacing w:val="-1"/>
          <w:sz w:val="28"/>
          <w:szCs w:val="28"/>
          <w:lang w:eastAsia="es-CL"/>
        </w:rPr>
        <w:t xml:space="preserve">bonificación en estudio, para percibir remuneraciones por los meses de enero y febrero del año en curso, es dable tener en cuenta, en primer término, que según lo dispuesto en el artículo 41 de Ley N° 19.070, para todos los efectos legales, el feriado de los profesionales de la educación que se desempeñen en establecimientos educacionales será el período de interrupción de las actividades escolares en los meses de enero a febrero o el que medie entre el término del año escolar y el comienzo del siguiente, según corresponda. </w:t>
      </w:r>
    </w:p>
    <w:p w:rsidR="007D4C82" w:rsidRPr="007D4C82" w:rsidRDefault="007D4C82" w:rsidP="007D4C82">
      <w:pPr>
        <w:shd w:val="clear" w:color="auto" w:fill="FFFFFF"/>
        <w:spacing w:after="150" w:line="240" w:lineRule="auto"/>
        <w:jc w:val="both"/>
        <w:rPr>
          <w:rFonts w:ascii="Lato" w:eastAsia="Times New Roman" w:hAnsi="Lato" w:cs="Times New Roman"/>
          <w:color w:val="333333"/>
          <w:spacing w:val="-1"/>
          <w:sz w:val="28"/>
          <w:szCs w:val="28"/>
          <w:lang w:eastAsia="es-CL"/>
        </w:rPr>
      </w:pPr>
      <w:r w:rsidRPr="007D4C82">
        <w:rPr>
          <w:rFonts w:ascii="Lato" w:eastAsia="Times New Roman" w:hAnsi="Lato" w:cs="Arial"/>
          <w:color w:val="333333"/>
          <w:spacing w:val="-1"/>
          <w:sz w:val="28"/>
          <w:szCs w:val="28"/>
          <w:lang w:eastAsia="es-CL"/>
        </w:rPr>
        <w:t xml:space="preserve">Por su parte, el inciso quinto del artículo 6° transitorio, agrega que la formalización de la renuncia voluntaria y el término de la relación laboral sólo se producirá cuando el empleador ponga la totalidad de la bonificación que corresponda a disposición del profesional de la educación que deje de pertenecer voluntariamente a una dotación docente municipal, respecto del total de horas que sirva. No obstante, el profesional de la educación beneficiario de la bonificación no podrá hacer efectiva su renuncia voluntaria más allá del 1 de enero de 2006; lo que se dispone, en los mismos términos, en el artículo 13 del reglamento, Decreto N° 128, de 2004, del Ministerio de Educación. </w:t>
      </w:r>
    </w:p>
    <w:p w:rsidR="007D4C82" w:rsidRPr="007D4C82" w:rsidRDefault="007D4C82" w:rsidP="007D4C82">
      <w:pPr>
        <w:shd w:val="clear" w:color="auto" w:fill="FFFFFF"/>
        <w:spacing w:after="150" w:line="240" w:lineRule="auto"/>
        <w:jc w:val="both"/>
        <w:rPr>
          <w:rFonts w:ascii="Lato" w:eastAsia="Times New Roman" w:hAnsi="Lato" w:cs="Times New Roman"/>
          <w:color w:val="333333"/>
          <w:spacing w:val="-1"/>
          <w:sz w:val="28"/>
          <w:szCs w:val="28"/>
          <w:lang w:eastAsia="es-CL"/>
        </w:rPr>
      </w:pPr>
      <w:r w:rsidRPr="007D4C82">
        <w:rPr>
          <w:rFonts w:ascii="Lato" w:eastAsia="Times New Roman" w:hAnsi="Lato" w:cs="Arial"/>
          <w:color w:val="333333"/>
          <w:spacing w:val="-1"/>
          <w:sz w:val="28"/>
          <w:szCs w:val="28"/>
          <w:lang w:eastAsia="es-CL"/>
        </w:rPr>
        <w:t>En este contexto entonces, dado que de la norma antes citada fluye claramente que tanto la aceptación de la renuncia voluntaria, como la expiración de las funciones, tendrá lugar en el momento en que el empleador -municipalidad o corporación municipal- pague íntegramente la bonificación, cabe concluir que hasta esa fecha los beneficiarios de la franquicia en análisis, tendrán derecho a percibir las correspondientes remuneraciones, sea que se encuentren o no gozando del feriado que establece el antes citado artículo 41 del Estatuto Docente, toda vez que a esa data se producirá la desvinculación.</w:t>
      </w:r>
      <w:r w:rsidRPr="007D4C82">
        <w:rPr>
          <w:rFonts w:ascii="Lato" w:eastAsia="Times New Roman" w:hAnsi="Lato" w:cs="Times New Roman"/>
          <w:color w:val="333333"/>
          <w:spacing w:val="-1"/>
          <w:sz w:val="28"/>
          <w:szCs w:val="28"/>
          <w:lang w:eastAsia="es-CL"/>
        </w:rPr>
        <w:t> </w:t>
      </w:r>
    </w:p>
    <w:p w:rsidR="007D4C82" w:rsidRPr="007D4C82" w:rsidRDefault="007D4C82" w:rsidP="007D4C82">
      <w:pPr>
        <w:shd w:val="clear" w:color="auto" w:fill="FFFFFF"/>
        <w:spacing w:before="100" w:beforeAutospacing="1" w:after="100" w:afterAutospacing="1" w:line="240" w:lineRule="auto"/>
        <w:jc w:val="center"/>
        <w:outlineLvl w:val="3"/>
        <w:rPr>
          <w:rFonts w:ascii="Lato" w:eastAsia="Times New Roman" w:hAnsi="Lato" w:cs="Times New Roman"/>
          <w:b/>
          <w:bCs/>
          <w:color w:val="333333"/>
          <w:spacing w:val="12"/>
          <w:sz w:val="28"/>
          <w:szCs w:val="28"/>
          <w:lang w:eastAsia="es-CL"/>
        </w:rPr>
      </w:pPr>
      <w:r w:rsidRPr="007D4C82">
        <w:rPr>
          <w:rFonts w:ascii="Lato" w:eastAsia="Times New Roman" w:hAnsi="Lato" w:cs="Times New Roman"/>
          <w:b/>
          <w:bCs/>
          <w:color w:val="333333"/>
          <w:spacing w:val="12"/>
          <w:sz w:val="28"/>
          <w:szCs w:val="28"/>
          <w:lang w:eastAsia="es-CL"/>
        </w:rPr>
        <w:t>DESTINATARIOS</w:t>
      </w:r>
    </w:p>
    <w:p w:rsidR="007D4C82" w:rsidRPr="007D4C82" w:rsidRDefault="007D4C82" w:rsidP="007D4C82">
      <w:pPr>
        <w:shd w:val="clear" w:color="auto" w:fill="FFFFFF"/>
        <w:spacing w:after="0" w:line="240" w:lineRule="auto"/>
        <w:jc w:val="both"/>
        <w:rPr>
          <w:rFonts w:ascii="Lato" w:eastAsia="Times New Roman" w:hAnsi="Lato" w:cs="Times New Roman"/>
          <w:color w:val="333333"/>
          <w:spacing w:val="-1"/>
          <w:sz w:val="28"/>
          <w:szCs w:val="28"/>
          <w:lang w:eastAsia="es-CL"/>
        </w:rPr>
      </w:pPr>
      <w:proofErr w:type="gramStart"/>
      <w:r w:rsidRPr="007D4C82">
        <w:rPr>
          <w:rFonts w:ascii="Lato" w:eastAsia="Times New Roman" w:hAnsi="Lato" w:cs="Times New Roman"/>
          <w:color w:val="333333"/>
          <w:spacing w:val="-1"/>
          <w:sz w:val="28"/>
          <w:szCs w:val="28"/>
          <w:lang w:eastAsia="es-CL"/>
        </w:rPr>
        <w:t>alcalde</w:t>
      </w:r>
      <w:proofErr w:type="gramEnd"/>
      <w:r w:rsidRPr="007D4C82">
        <w:rPr>
          <w:rFonts w:ascii="Lato" w:eastAsia="Times New Roman" w:hAnsi="Lato" w:cs="Times New Roman"/>
          <w:color w:val="333333"/>
          <w:spacing w:val="-1"/>
          <w:sz w:val="28"/>
          <w:szCs w:val="28"/>
          <w:lang w:eastAsia="es-CL"/>
        </w:rPr>
        <w:t xml:space="preserve"> municipalidad </w:t>
      </w:r>
      <w:proofErr w:type="spellStart"/>
      <w:r w:rsidRPr="007D4C82">
        <w:rPr>
          <w:rFonts w:ascii="Lato" w:eastAsia="Times New Roman" w:hAnsi="Lato" w:cs="Times New Roman"/>
          <w:color w:val="333333"/>
          <w:spacing w:val="-1"/>
          <w:sz w:val="28"/>
          <w:szCs w:val="28"/>
          <w:lang w:eastAsia="es-CL"/>
        </w:rPr>
        <w:t>santiago</w:t>
      </w:r>
      <w:proofErr w:type="spellEnd"/>
    </w:p>
    <w:p w:rsidR="007D4C82" w:rsidRPr="007D4C82" w:rsidRDefault="007D4C82" w:rsidP="007D4C82">
      <w:pPr>
        <w:shd w:val="clear" w:color="auto" w:fill="FFFFFF"/>
        <w:spacing w:after="0" w:line="240" w:lineRule="auto"/>
        <w:jc w:val="both"/>
        <w:rPr>
          <w:rFonts w:ascii="Lato" w:eastAsia="Times New Roman" w:hAnsi="Lato" w:cs="Times New Roman"/>
          <w:color w:val="333333"/>
          <w:spacing w:val="-1"/>
          <w:sz w:val="28"/>
          <w:szCs w:val="28"/>
          <w:lang w:eastAsia="es-CL"/>
        </w:rPr>
      </w:pPr>
    </w:p>
    <w:p w:rsidR="001953CB" w:rsidRPr="007D4C82" w:rsidRDefault="001953CB">
      <w:pPr>
        <w:rPr>
          <w:sz w:val="28"/>
          <w:szCs w:val="28"/>
        </w:rPr>
      </w:pPr>
    </w:p>
    <w:sectPr w:rsidR="001953CB" w:rsidRPr="007D4C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C82"/>
    <w:rsid w:val="001953CB"/>
    <w:rsid w:val="007D4C8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73618-DD0D-448A-B906-CBF051F3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515666">
      <w:bodyDiv w:val="1"/>
      <w:marLeft w:val="0"/>
      <w:marRight w:val="0"/>
      <w:marTop w:val="0"/>
      <w:marBottom w:val="0"/>
      <w:divBdr>
        <w:top w:val="none" w:sz="0" w:space="0" w:color="auto"/>
        <w:left w:val="none" w:sz="0" w:space="0" w:color="auto"/>
        <w:bottom w:val="none" w:sz="0" w:space="0" w:color="auto"/>
        <w:right w:val="none" w:sz="0" w:space="0" w:color="auto"/>
      </w:divBdr>
      <w:divsChild>
        <w:div w:id="985817296">
          <w:marLeft w:val="0"/>
          <w:marRight w:val="0"/>
          <w:marTop w:val="0"/>
          <w:marBottom w:val="0"/>
          <w:divBdr>
            <w:top w:val="none" w:sz="0" w:space="0" w:color="auto"/>
            <w:left w:val="none" w:sz="0" w:space="0" w:color="auto"/>
            <w:bottom w:val="none" w:sz="0" w:space="0" w:color="auto"/>
            <w:right w:val="none" w:sz="0" w:space="0" w:color="auto"/>
          </w:divBdr>
        </w:div>
        <w:div w:id="925651562">
          <w:marLeft w:val="0"/>
          <w:marRight w:val="0"/>
          <w:marTop w:val="0"/>
          <w:marBottom w:val="0"/>
          <w:divBdr>
            <w:top w:val="none" w:sz="0" w:space="0" w:color="auto"/>
            <w:left w:val="none" w:sz="0" w:space="0" w:color="auto"/>
            <w:bottom w:val="none" w:sz="0" w:space="0" w:color="auto"/>
            <w:right w:val="none" w:sz="0" w:space="0" w:color="auto"/>
          </w:divBdr>
        </w:div>
        <w:div w:id="1919630601">
          <w:marLeft w:val="0"/>
          <w:marRight w:val="0"/>
          <w:marTop w:val="0"/>
          <w:marBottom w:val="0"/>
          <w:divBdr>
            <w:top w:val="none" w:sz="0" w:space="0" w:color="auto"/>
            <w:left w:val="none" w:sz="0" w:space="0" w:color="auto"/>
            <w:bottom w:val="none" w:sz="0" w:space="0" w:color="auto"/>
            <w:right w:val="none" w:sz="0" w:space="0" w:color="auto"/>
          </w:divBdr>
        </w:div>
        <w:div w:id="392167495">
          <w:marLeft w:val="0"/>
          <w:marRight w:val="0"/>
          <w:marTop w:val="0"/>
          <w:marBottom w:val="0"/>
          <w:divBdr>
            <w:top w:val="single" w:sz="6" w:space="8"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1026</Words>
  <Characters>5648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2019-03-01T19:14:00Z</dcterms:created>
  <dcterms:modified xsi:type="dcterms:W3CDTF">2019-03-01T19:20:00Z</dcterms:modified>
</cp:coreProperties>
</file>