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78" w:rsidRPr="00677378" w:rsidRDefault="00677378" w:rsidP="00677378">
      <w:pPr>
        <w:pBdr>
          <w:bottom w:val="single" w:sz="6" w:space="4" w:color="CCCCCC"/>
        </w:pBdr>
        <w:shd w:val="clear" w:color="auto" w:fill="FFFFFF"/>
        <w:spacing w:after="150" w:line="600" w:lineRule="atLeast"/>
        <w:textAlignment w:val="top"/>
        <w:outlineLvl w:val="2"/>
        <w:rPr>
          <w:rFonts w:ascii="Lato" w:eastAsia="Times New Roman" w:hAnsi="Lato" w:cs="Times New Roman"/>
          <w:spacing w:val="15"/>
          <w:sz w:val="28"/>
          <w:szCs w:val="28"/>
          <w:lang w:eastAsia="es-CL"/>
        </w:rPr>
      </w:pPr>
      <w:r w:rsidRPr="00677378">
        <w:rPr>
          <w:rFonts w:ascii="Lato" w:eastAsia="Times New Roman" w:hAnsi="Lato" w:cs="Times New Roman"/>
          <w:spacing w:val="15"/>
          <w:sz w:val="28"/>
          <w:szCs w:val="28"/>
          <w:lang w:eastAsia="es-CL"/>
        </w:rPr>
        <w:t>Base Dictámenes</w:t>
      </w:r>
    </w:p>
    <w:p w:rsidR="00677378" w:rsidRPr="00677378" w:rsidRDefault="00677378" w:rsidP="00677378">
      <w:pPr>
        <w:pBdr>
          <w:bottom w:val="single" w:sz="6" w:space="4" w:color="CCCCCC"/>
        </w:pBdr>
        <w:shd w:val="clear" w:color="auto" w:fill="FFFFFF"/>
        <w:spacing w:after="0" w:line="360" w:lineRule="atLeast"/>
        <w:outlineLvl w:val="3"/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</w:pPr>
      <w:proofErr w:type="spellStart"/>
      <w:r w:rsidRPr="00677378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>Mun</w:t>
      </w:r>
      <w:proofErr w:type="spellEnd"/>
      <w:r w:rsidRPr="00677378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>, incremento previsional, aportes fondo </w:t>
      </w:r>
      <w:r w:rsidRPr="00677378">
        <w:rPr>
          <w:rFonts w:ascii="inherit" w:eastAsia="Times New Roman" w:hAnsi="inherit" w:cs="Times New Roman"/>
          <w:b/>
          <w:bCs/>
          <w:color w:val="333333"/>
          <w:spacing w:val="15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inherit" w:eastAsia="Times New Roman" w:hAnsi="inherit" w:cs="Times New Roman"/>
          <w:color w:val="333333"/>
          <w:spacing w:val="15"/>
          <w:sz w:val="28"/>
          <w:szCs w:val="28"/>
          <w:lang w:eastAsia="es-CL"/>
        </w:rPr>
        <w:t> desahucio</w:t>
      </w:r>
    </w:p>
    <w:p w:rsidR="00677378" w:rsidRPr="00677378" w:rsidRDefault="00677378" w:rsidP="00677378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</w:pPr>
      <w:r w:rsidRPr="00677378">
        <w:rPr>
          <w:rFonts w:ascii="Lato" w:eastAsia="Times New Roman" w:hAnsi="Lato" w:cs="Times New Roman"/>
          <w:b/>
          <w:bCs/>
          <w:color w:val="333333"/>
          <w:sz w:val="28"/>
          <w:szCs w:val="28"/>
          <w:bdr w:val="single" w:sz="2" w:space="0" w:color="auto" w:frame="1"/>
          <w:lang w:eastAsia="es-CL"/>
        </w:rPr>
        <w:t>NÚMERO DICTAMEN</w:t>
      </w:r>
      <w:r>
        <w:rPr>
          <w:rFonts w:ascii="Lato" w:eastAsia="Times New Roman" w:hAnsi="Lato" w:cs="Times New Roman"/>
          <w:b/>
          <w:bCs/>
          <w:color w:val="333333"/>
          <w:sz w:val="28"/>
          <w:szCs w:val="28"/>
          <w:bdr w:val="single" w:sz="2" w:space="0" w:color="auto" w:frame="1"/>
          <w:lang w:eastAsia="es-CL"/>
        </w:rPr>
        <w:t xml:space="preserve"> </w:t>
      </w:r>
      <w:r w:rsidRPr="00677378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064223N12</w:t>
      </w:r>
      <w:r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 xml:space="preserve"> </w:t>
      </w:r>
      <w:r w:rsidRPr="00677378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FECHA DOCUMENTO</w:t>
      </w:r>
      <w:r w:rsidRPr="00677378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16-10-2012</w:t>
      </w:r>
      <w:r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 xml:space="preserve"> </w:t>
      </w:r>
      <w:r w:rsidRPr="00677378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RECONSIDERADO:</w:t>
      </w:r>
      <w:r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 xml:space="preserve"> </w:t>
      </w:r>
      <w:r w:rsidRPr="00677378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NO</w:t>
      </w:r>
      <w:r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 xml:space="preserve"> </w:t>
      </w:r>
      <w:r w:rsidRPr="00677378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RECONSIDERADO PARCIAL:</w:t>
      </w:r>
      <w:r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 xml:space="preserve"> </w:t>
      </w:r>
      <w:r w:rsidRPr="00677378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NO</w:t>
      </w:r>
      <w:r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 xml:space="preserve"> </w:t>
      </w:r>
      <w:r w:rsidRPr="00677378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ACLARADO</w:t>
      </w:r>
      <w:proofErr w:type="gramStart"/>
      <w:r w:rsidRPr="00677378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:</w:t>
      </w:r>
      <w:r w:rsidRPr="00677378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NO</w:t>
      </w:r>
      <w:proofErr w:type="gramEnd"/>
      <w:r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 xml:space="preserve"> </w:t>
      </w:r>
      <w:r w:rsidRPr="00677378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APLICADO:</w:t>
      </w:r>
      <w:r w:rsidRPr="00677378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NO</w:t>
      </w:r>
      <w:r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 xml:space="preserve"> </w:t>
      </w:r>
      <w:r w:rsidRPr="00677378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CONFIRMADO:</w:t>
      </w:r>
      <w:r w:rsidRPr="00677378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NO</w:t>
      </w:r>
      <w:r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 xml:space="preserve"> </w:t>
      </w:r>
      <w:r w:rsidRPr="00677378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COMPLEMENTADO:</w:t>
      </w:r>
      <w:r w:rsidRPr="00677378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NO</w:t>
      </w:r>
      <w:r w:rsidRPr="00677378">
        <w:rPr>
          <w:rFonts w:ascii="Lato" w:eastAsia="Times New Roman" w:hAnsi="Lato" w:cs="Times New Roman"/>
          <w:b/>
          <w:bCs/>
          <w:color w:val="333333"/>
          <w:sz w:val="28"/>
          <w:szCs w:val="28"/>
          <w:lang w:eastAsia="es-CL"/>
        </w:rPr>
        <w:t>CARÁCTER:</w:t>
      </w:r>
      <w:r w:rsidRPr="00677378">
        <w:rPr>
          <w:rFonts w:ascii="Lato" w:eastAsia="Times New Roman" w:hAnsi="Lato" w:cs="Times New Roman"/>
          <w:color w:val="333333"/>
          <w:sz w:val="28"/>
          <w:szCs w:val="28"/>
          <w:lang w:eastAsia="es-CL"/>
        </w:rPr>
        <w:t>NNN</w:t>
      </w:r>
    </w:p>
    <w:p w:rsidR="00677378" w:rsidRPr="00677378" w:rsidRDefault="00677378" w:rsidP="00677378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  <w:r w:rsidRPr="00677378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br/>
      </w:r>
    </w:p>
    <w:p w:rsidR="00677378" w:rsidRPr="00677378" w:rsidRDefault="00677378" w:rsidP="0067737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</w:pPr>
      <w:r w:rsidRPr="00677378"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  <w:t>DICTAMENES RELACIONADOS</w:t>
      </w:r>
    </w:p>
    <w:p w:rsidR="00677378" w:rsidRPr="00677378" w:rsidRDefault="00677378" w:rsidP="00677378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  <w:r w:rsidRPr="00677378">
        <w:rPr>
          <w:rFonts w:ascii="Lato" w:eastAsia="Times New Roman" w:hAnsi="Lato" w:cs="Times New Roman"/>
          <w:noProof/>
          <w:color w:val="333333"/>
          <w:spacing w:val="-1"/>
          <w:sz w:val="28"/>
          <w:szCs w:val="28"/>
          <w:lang w:eastAsia="es-CL"/>
        </w:rPr>
        <w:drawing>
          <wp:inline distT="0" distB="0" distL="0" distR="0" wp14:anchorId="33DF577D" wp14:editId="5A54B0A9">
            <wp:extent cx="9525" cy="9525"/>
            <wp:effectExtent l="0" t="0" r="0" b="0"/>
            <wp:docPr id="1" name="Imagen 1" descr="https://www.contraloria.cl/icons/ec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ntraloria.cl/icons/ecblank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677378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aplica</w:t>
      </w:r>
      <w:proofErr w:type="gramEnd"/>
      <w:r w:rsidRPr="00677378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dictámenes 22132/94, 41611/99, 7741/2012, 37219/2010 </w:t>
      </w:r>
    </w:p>
    <w:tbl>
      <w:tblPr>
        <w:tblW w:w="10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8"/>
        <w:gridCol w:w="4674"/>
        <w:gridCol w:w="2388"/>
      </w:tblGrid>
      <w:tr w:rsidR="00677378" w:rsidRPr="00677378" w:rsidTr="00677378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98F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378" w:rsidRPr="00677378" w:rsidRDefault="00677378" w:rsidP="0067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677378"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  <w:t>Acción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98F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378" w:rsidRPr="00677378" w:rsidRDefault="00677378" w:rsidP="0067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677378"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  <w:t>Dictamen</w:t>
            </w: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198FC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378" w:rsidRPr="00677378" w:rsidRDefault="00677378" w:rsidP="0067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  <w:r w:rsidRPr="00677378"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  <w:t>Año</w:t>
            </w:r>
          </w:p>
        </w:tc>
      </w:tr>
      <w:tr w:rsidR="00677378" w:rsidRPr="00677378" w:rsidTr="00677378"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378" w:rsidRPr="00677378" w:rsidRDefault="00677378" w:rsidP="0067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378" w:rsidRPr="00677378" w:rsidRDefault="00677378" w:rsidP="0067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</w:p>
        </w:tc>
        <w:tc>
          <w:tcPr>
            <w:tcW w:w="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7378" w:rsidRPr="00677378" w:rsidRDefault="00677378" w:rsidP="00677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s-CL"/>
              </w:rPr>
            </w:pPr>
          </w:p>
        </w:tc>
      </w:tr>
    </w:tbl>
    <w:p w:rsidR="00677378" w:rsidRPr="00677378" w:rsidRDefault="00677378" w:rsidP="0067737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</w:pPr>
      <w:r w:rsidRPr="00677378"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  <w:t>FUENTES LEGALES</w:t>
      </w:r>
    </w:p>
    <w:p w:rsidR="00677378" w:rsidRPr="00677378" w:rsidRDefault="00677378" w:rsidP="00677378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  <w:proofErr w:type="spellStart"/>
      <w:proofErr w:type="gramStart"/>
      <w:r w:rsidRPr="00677378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dfl</w:t>
      </w:r>
      <w:proofErr w:type="spellEnd"/>
      <w:proofErr w:type="gramEnd"/>
      <w:r w:rsidRPr="00677378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178/81 </w:t>
      </w:r>
      <w:proofErr w:type="spellStart"/>
      <w:r w:rsidRPr="00677378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hacie</w:t>
      </w:r>
      <w:proofErr w:type="spellEnd"/>
      <w:r w:rsidRPr="00677378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art/7, dl 3501/80 art/2 </w:t>
      </w:r>
      <w:proofErr w:type="spellStart"/>
      <w:r w:rsidRPr="00677378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num</w:t>
      </w:r>
      <w:proofErr w:type="spellEnd"/>
      <w:r w:rsidRPr="00677378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/13 dl 3501/80 art/2 </w:t>
      </w:r>
      <w:proofErr w:type="spellStart"/>
      <w:r w:rsidRPr="00677378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inc</w:t>
      </w:r>
      <w:proofErr w:type="spellEnd"/>
      <w:r w:rsidRPr="00677378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/2, dl 3501/80 art/1, </w:t>
      </w:r>
      <w:proofErr w:type="spellStart"/>
      <w:r w:rsidRPr="00677378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dfl</w:t>
      </w:r>
      <w:proofErr w:type="spellEnd"/>
      <w:r w:rsidRPr="00677378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338/60 </w:t>
      </w:r>
      <w:proofErr w:type="spellStart"/>
      <w:r w:rsidRPr="00677378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hacie</w:t>
      </w:r>
      <w:proofErr w:type="spellEnd"/>
      <w:r w:rsidRPr="00677378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 xml:space="preserve"> art/103,</w:t>
      </w:r>
      <w:r w:rsidRPr="00677378">
        <w:rPr>
          <w:rFonts w:ascii="Lato" w:eastAsia="Times New Roman" w:hAnsi="Lato" w:cs="Times New Roman"/>
          <w:color w:val="0000FF"/>
          <w:spacing w:val="-1"/>
          <w:sz w:val="28"/>
          <w:szCs w:val="28"/>
          <w:u w:val="single"/>
          <w:lang w:eastAsia="es-CL"/>
        </w:rPr>
        <w:t> ley 18177 </w:t>
      </w:r>
      <w:r w:rsidRPr="00677378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,</w:t>
      </w:r>
    </w:p>
    <w:p w:rsidR="00677378" w:rsidRPr="00677378" w:rsidRDefault="00677378" w:rsidP="0067737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</w:pPr>
      <w:r w:rsidRPr="00677378"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  <w:t>MATERIA</w:t>
      </w:r>
    </w:p>
    <w:p w:rsidR="00677378" w:rsidRPr="00677378" w:rsidRDefault="00677378" w:rsidP="00677378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  <w:r w:rsidRPr="00677378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Sobre factor aplicable para cálculo del incremento previsional a funcionario traspasado a municipalidad desde Servicio </w:t>
      </w:r>
      <w:r w:rsidRPr="00677378">
        <w:rPr>
          <w:rFonts w:ascii="Lato" w:eastAsia="Times New Roman" w:hAnsi="Lato" w:cs="Times New Roman"/>
          <w:b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 Tesorerías y descuento por desahucio</w:t>
      </w:r>
    </w:p>
    <w:p w:rsidR="00677378" w:rsidRPr="00677378" w:rsidRDefault="00677378" w:rsidP="0067737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</w:pPr>
      <w:r w:rsidRPr="00677378">
        <w:rPr>
          <w:rFonts w:ascii="Lato" w:eastAsia="Times New Roman" w:hAnsi="Lato" w:cs="Times New Roman"/>
          <w:b/>
          <w:bCs/>
          <w:color w:val="333333"/>
          <w:spacing w:val="12"/>
          <w:sz w:val="28"/>
          <w:szCs w:val="28"/>
          <w:lang w:eastAsia="es-CL"/>
        </w:rPr>
        <w:t>DOCUMENTO COMPLETO</w:t>
      </w:r>
    </w:p>
    <w:p w:rsidR="00677378" w:rsidRPr="00677378" w:rsidRDefault="00677378" w:rsidP="00677378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b/>
          <w:color w:val="333333"/>
          <w:spacing w:val="-1"/>
          <w:sz w:val="32"/>
          <w:szCs w:val="32"/>
          <w:lang w:eastAsia="es-CL"/>
        </w:rPr>
      </w:pPr>
      <w:r w:rsidRPr="00677378">
        <w:rPr>
          <w:rFonts w:ascii="Lato" w:eastAsia="Times New Roman" w:hAnsi="Lato" w:cs="Arial"/>
          <w:b/>
          <w:bCs/>
          <w:color w:val="333333"/>
          <w:spacing w:val="-1"/>
          <w:sz w:val="32"/>
          <w:szCs w:val="32"/>
          <w:lang w:eastAsia="es-CL"/>
        </w:rPr>
        <w:t>N° 64.223 Fecha: 16-X-2012</w:t>
      </w:r>
    </w:p>
    <w:p w:rsidR="00677378" w:rsidRDefault="00677378" w:rsidP="00677378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</w:pP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Se ha dirigido a esta Contraloría General el señor Juan Hernández Sepúlveda, funcionario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la Municipalidad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</w:t>
      </w:r>
      <w:proofErr w:type="spellStart"/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Talagante</w:t>
      </w:r>
      <w:proofErr w:type="spellEnd"/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, solicitando un pronunciamiento acerca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la procedencia que, en su caso, se efectúe el cálculo del incremento previsional aplicando el factor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 xml:space="preserve"> 21,05%, relativo a los funcionarios municipales, y que, además, se determine si corresponde que se efectúen en sus remuneraciones, descuentos por desahucio, atendido que en el año 1999, asumió un cargo en ese municipio, al que accedió por concurso público. </w:t>
      </w:r>
    </w:p>
    <w:p w:rsidR="00677378" w:rsidRDefault="00677378" w:rsidP="00677378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</w:pP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lastRenderedPageBreak/>
        <w:t>Requerido informe, la aludida municipalidad señaló, en síntesis, que el recurrente fue traspasado a esa entidad edilicia, desde el Servicio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Tesorerías, conservando el sistema previsional a que estaba afecto -ex Caja Nacional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Empleados Públicos y Periodistas-, por lo que a su respecto debe aplicarse el factor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 xml:space="preserve"> 13,05%, concerniente a esos funcionarios. </w:t>
      </w:r>
    </w:p>
    <w:p w:rsidR="00677378" w:rsidRPr="00677378" w:rsidRDefault="00677378" w:rsidP="00677378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Sobre el particular, cumple señalar que el artículo 7° del decreto con fuerza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ley N° 178,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1981, del Ministerio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Hacienda, suprimió a contar del 1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enero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1982, todas las Tesorerías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Comunales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, y facultó a las municipalidades para tomar a su cargo dichas oficinas con la totalidad o parte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 xml:space="preserve"> su personal, y dispuso que el traspaso se haría conservando el régimen previsional a que estuvieren afectos los respectivos funcionarios. </w:t>
      </w:r>
    </w:p>
    <w:p w:rsidR="00677378" w:rsidRPr="00677378" w:rsidRDefault="00677378" w:rsidP="00677378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En este sentido, cabe indicar que atendidos los términos en que fue concebida la mencionada disposición, se permite al referido personal permanecer afecto al régimen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la ex Caja Nacional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Empleados Públicos y Periodistas,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manera que resulta procedente que se les continúe aplicando el factor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incremento fijado en el número 13), del artículo 2°, del decreto ley N° 3.501,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1980, esto es, un 13,05% (aplica dictamen N° 22.132,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 xml:space="preserve"> 1994). </w:t>
      </w:r>
    </w:p>
    <w:p w:rsidR="00DF35DE" w:rsidRDefault="00677378" w:rsidP="00677378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</w:pP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Ahora bien, conforme se advierte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los antecedentes tenidos a la vista, a través del decreto N° 367,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1982, del antiguo Ministerio del Interior, el señor Hernández Sepúlveda fue traspasado desde el Servicio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Tesorerías a la Municipalidad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</w:t>
      </w:r>
      <w:proofErr w:type="spellStart"/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Talagante</w:t>
      </w:r>
      <w:proofErr w:type="spellEnd"/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, a contar del 1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enero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1982, y, posteriormente, mediante el decreto N° 12,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1999, del municipio en comento, fue nombrado en un cargo técnico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la planta municipal a contar del 1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 xml:space="preserve"> febrero del mismo año. 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este modo, según lo informado por la jurisprudencia administrativa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esta Entidad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Control, no habiendo existido una desvinculación del servicio, cabe concluir que la calidad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traspasado del recurrente no ha sido modificada con motivo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la nueva designación en comento, toda vez que dicho carácter dice relación con todo el desempeño que el funcionario cumpla en el municipio respectivo como consecuencia del aludido traspaso, y sólo desaparece en caso que opere una separación del organismo pertinente, determinada por la interrupción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funciones, circunstancia que no concurre en la especie (aplica dictamen N° 41.611,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 xml:space="preserve"> 1999). </w:t>
      </w:r>
    </w:p>
    <w:p w:rsidR="00DF35DE" w:rsidRDefault="00677378" w:rsidP="00677378">
      <w:pPr>
        <w:shd w:val="clear" w:color="auto" w:fill="FFFFFF"/>
        <w:spacing w:after="0" w:line="240" w:lineRule="auto"/>
        <w:jc w:val="both"/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</w:pP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En efecto, los empleados que se han mantenido en funciones ininterrumpidamente desde antes del 1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marzo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1981 hasta la actualidad, tienen derecho al señalado incremento en los términos que prescribe el artículo 2°, inciso segundo, del citado texto normativo, aplicando el factor que corresponde a la caja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previsión a la que hubieren estado adscritos a esa data, siendo irrelevante considerar si después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esa fecha mantuvieron o no su régimen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pensiones en las instituciones enumeradas en el citado artículo 1° del decreto ley N° 3.501,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1980 (aplica dictamen N° 7.741,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 xml:space="preserve"> 2012). </w:t>
      </w:r>
    </w:p>
    <w:p w:rsidR="00677378" w:rsidRPr="00677378" w:rsidRDefault="00677378" w:rsidP="00677378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bCs/>
          <w:color w:val="333333"/>
          <w:spacing w:val="-1"/>
          <w:sz w:val="28"/>
          <w:szCs w:val="28"/>
          <w:lang w:eastAsia="es-CL"/>
        </w:rPr>
      </w:pP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lastRenderedPageBreak/>
        <w:t>Por consiguiente, las remuneraciones del peticionario, continúan afectas al factor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incremento previsional correspondiente al mencionado régimen, relativo a los funcionarios traspasados desde el Servicio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Tesorerías - 13,05%-,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sin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que tenga derecho a gozar del incremento concerniente a los servidores municipales. En relación con el descuento por desahucio en las remuneraciones del señor Hernández Sepúlveda, es necesario recordar que según el artículo 103 del decreto con fuerza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ley N° 338,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1960 -antiguo Estatuto Administrativo-, el trabajador que se retire del empleo que sirva, por cualquiera causa, tendrá derecho a percibir, independientemente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la pensión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jubilación o retiro que pueda corresponderle, un desahucio equivalente a un mes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remuneraciones sobre las cuales haya efectuado imposiciones a la Caja Nacional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Empleados Públicos y Periodistas y al Fondo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Seguro Social, por cada año o fracción superior a seis meses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servicios prestados,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sin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que el desahucio pueda exceder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veinticuatro veces dicho valor. Enseguida, es del caso señalar que la ley N° 18.177, declaró expresamente que el traspaso del personal del Servicio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Tesorerías a las municipalidades, efectuado en conformidad con el decreto con fuerza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ley N° 178,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1981, del Ministerio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Hacienda, no desvinculaba a los empleados del sistema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desahucio que antes los regía, debiendo continuar cotizando al Fondo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Seguro Social regulado en el decreto con fuerza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ley N° 338,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1960, </w:t>
      </w:r>
      <w:r w:rsidR="00DF35DE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 xml:space="preserve"> </w:t>
      </w:r>
      <w:bookmarkStart w:id="0" w:name="_GoBack"/>
      <w:bookmarkEnd w:id="0"/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sin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solución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continuidad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(aplica dictamen N° 37.219,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2010). En este contexto, y atendido que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acuerdo con lo expuesto precedentemente, el señor Hernández Sepúlveda no se ha desvinculado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la Municipalidad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</w:t>
      </w:r>
      <w:proofErr w:type="spellStart"/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Talagante</w:t>
      </w:r>
      <w:proofErr w:type="spellEnd"/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, desempeñándose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sin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interrupción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funciones desde la época en que se verificó su traspaso, es dable concluir que resulta procedente que continúe enterando aportes en el Fondo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Seguro Social, a través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los descuentos que efectúa el municipio para dichos efectos, a fin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que pueda impetrar el pago del pertinente desahucio al momento en que se produzca su cese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 xml:space="preserve"> servicios </w:t>
      </w:r>
    </w:p>
    <w:p w:rsidR="00677378" w:rsidRPr="00677378" w:rsidRDefault="00677378" w:rsidP="00677378">
      <w:pPr>
        <w:shd w:val="clear" w:color="auto" w:fill="FFFFFF"/>
        <w:spacing w:after="150" w:line="240" w:lineRule="auto"/>
        <w:jc w:val="both"/>
        <w:rPr>
          <w:rFonts w:ascii="Lato" w:eastAsia="Times New Roman" w:hAnsi="Lato" w:cs="Times New Roman"/>
          <w:bCs/>
          <w:color w:val="333333"/>
          <w:spacing w:val="-1"/>
          <w:sz w:val="28"/>
          <w:szCs w:val="28"/>
          <w:lang w:eastAsia="es-CL"/>
        </w:rPr>
      </w:pP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 xml:space="preserve">Ramiro Mendoza Zúñiga </w:t>
      </w:r>
    </w:p>
    <w:p w:rsidR="00677378" w:rsidRPr="00677378" w:rsidRDefault="00677378" w:rsidP="00677378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bCs/>
          <w:color w:val="333333"/>
          <w:spacing w:val="-1"/>
          <w:sz w:val="28"/>
          <w:szCs w:val="28"/>
          <w:lang w:eastAsia="es-CL"/>
        </w:rPr>
      </w:pP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Contralor General 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shd w:val="clear" w:color="auto" w:fill="FFFF00"/>
          <w:lang w:eastAsia="es-CL"/>
        </w:rPr>
        <w:t>de</w:t>
      </w:r>
      <w:r w:rsidRPr="00677378">
        <w:rPr>
          <w:rFonts w:ascii="Lato" w:eastAsia="Times New Roman" w:hAnsi="Lato" w:cs="Arial"/>
          <w:bCs/>
          <w:color w:val="333333"/>
          <w:spacing w:val="-1"/>
          <w:sz w:val="28"/>
          <w:szCs w:val="28"/>
          <w:lang w:eastAsia="es-CL"/>
        </w:rPr>
        <w:t> la República</w:t>
      </w:r>
      <w:r w:rsidRPr="00677378">
        <w:rPr>
          <w:rFonts w:ascii="Lato" w:eastAsia="Times New Roman" w:hAnsi="Lato" w:cs="Times New Roman"/>
          <w:bCs/>
          <w:color w:val="333333"/>
          <w:spacing w:val="-1"/>
          <w:sz w:val="28"/>
          <w:szCs w:val="28"/>
          <w:lang w:eastAsia="es-CL"/>
        </w:rPr>
        <w:t> </w:t>
      </w:r>
    </w:p>
    <w:p w:rsidR="00677378" w:rsidRPr="00677378" w:rsidRDefault="00677378" w:rsidP="0067737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Lato" w:eastAsia="Times New Roman" w:hAnsi="Lato" w:cs="Times New Roman"/>
          <w:bCs/>
          <w:color w:val="333333"/>
          <w:spacing w:val="12"/>
          <w:sz w:val="28"/>
          <w:szCs w:val="28"/>
          <w:lang w:eastAsia="es-CL"/>
        </w:rPr>
      </w:pPr>
      <w:r w:rsidRPr="00677378">
        <w:rPr>
          <w:rFonts w:ascii="Lato" w:eastAsia="Times New Roman" w:hAnsi="Lato" w:cs="Times New Roman"/>
          <w:bCs/>
          <w:color w:val="333333"/>
          <w:spacing w:val="12"/>
          <w:sz w:val="28"/>
          <w:szCs w:val="28"/>
          <w:lang w:eastAsia="es-CL"/>
        </w:rPr>
        <w:t>DESTINATARIOS</w:t>
      </w:r>
    </w:p>
    <w:p w:rsidR="00677378" w:rsidRPr="00677378" w:rsidRDefault="00677378" w:rsidP="00677378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  <w:r w:rsidRPr="00677378"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  <w:t>Juan Hernández Sepúlveda</w:t>
      </w:r>
    </w:p>
    <w:p w:rsidR="00677378" w:rsidRPr="00677378" w:rsidRDefault="00677378" w:rsidP="00677378">
      <w:pPr>
        <w:shd w:val="clear" w:color="auto" w:fill="FFFFFF"/>
        <w:spacing w:after="0" w:line="240" w:lineRule="auto"/>
        <w:jc w:val="both"/>
        <w:rPr>
          <w:rFonts w:ascii="Lato" w:eastAsia="Times New Roman" w:hAnsi="Lato" w:cs="Times New Roman"/>
          <w:color w:val="333333"/>
          <w:spacing w:val="-1"/>
          <w:sz w:val="28"/>
          <w:szCs w:val="28"/>
          <w:lang w:eastAsia="es-CL"/>
        </w:rPr>
      </w:pPr>
    </w:p>
    <w:p w:rsidR="00DD0A37" w:rsidRPr="00677378" w:rsidRDefault="00DD0A37">
      <w:pPr>
        <w:rPr>
          <w:sz w:val="28"/>
          <w:szCs w:val="28"/>
        </w:rPr>
      </w:pPr>
    </w:p>
    <w:sectPr w:rsidR="00DD0A37" w:rsidRPr="006773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78"/>
    <w:rsid w:val="00677378"/>
    <w:rsid w:val="00DD0A37"/>
    <w:rsid w:val="00D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EBAF1-8ABB-4F41-AF55-313D4D8D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9906">
          <w:marLeft w:val="0"/>
          <w:marRight w:val="0"/>
          <w:marTop w:val="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982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2019-03-01T19:35:00Z</dcterms:created>
  <dcterms:modified xsi:type="dcterms:W3CDTF">2019-03-01T19:47:00Z</dcterms:modified>
</cp:coreProperties>
</file>